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05B44" w14:textId="1040A18A" w:rsidR="00C3071C" w:rsidRDefault="00C3071C" w:rsidP="00C12695">
      <w:pPr>
        <w:ind w:left="2948"/>
        <w:jc w:val="right"/>
        <w:rPr>
          <w:rFonts w:ascii="Arial" w:hAnsi="Arial" w:cs="Arial"/>
          <w:bCs/>
          <w:sz w:val="22"/>
        </w:rPr>
      </w:pPr>
    </w:p>
    <w:p w14:paraId="1A81D386" w14:textId="77777777" w:rsidR="00104486" w:rsidRPr="00C3071C" w:rsidRDefault="00104486" w:rsidP="00C12695">
      <w:pPr>
        <w:ind w:left="2948"/>
        <w:jc w:val="right"/>
        <w:rPr>
          <w:rFonts w:ascii="Arial" w:hAnsi="Arial" w:cs="Arial"/>
          <w:sz w:val="18"/>
          <w:szCs w:val="20"/>
        </w:rPr>
      </w:pPr>
    </w:p>
    <w:p w14:paraId="5F319476" w14:textId="77777777" w:rsidR="004766AC" w:rsidRPr="00C3071C" w:rsidRDefault="004766AC" w:rsidP="00C12695">
      <w:pPr>
        <w:ind w:left="2948"/>
        <w:rPr>
          <w:rFonts w:ascii="Arial" w:hAnsi="Arial" w:cs="Arial"/>
          <w:sz w:val="20"/>
          <w:szCs w:val="20"/>
        </w:rPr>
      </w:pPr>
    </w:p>
    <w:p w14:paraId="74920955" w14:textId="77777777" w:rsidR="00050131" w:rsidRDefault="00050131" w:rsidP="00C1269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088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9"/>
        <w:gridCol w:w="61"/>
      </w:tblGrid>
      <w:tr w:rsidR="00B44C84" w:rsidRPr="00DD1425" w14:paraId="7383D30B" w14:textId="77777777" w:rsidTr="00871ECD">
        <w:trPr>
          <w:trHeight w:val="1162"/>
        </w:trPr>
        <w:tc>
          <w:tcPr>
            <w:tcW w:w="10880" w:type="dxa"/>
            <w:gridSpan w:val="2"/>
          </w:tcPr>
          <w:p w14:paraId="1D865F38" w14:textId="77777777" w:rsidR="00104486" w:rsidRPr="00104486" w:rsidRDefault="00104486" w:rsidP="00C12695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ind w:left="176"/>
              <w:outlineLvl w:val="0"/>
              <w:rPr>
                <w:rFonts w:ascii="Arial" w:hAnsi="Arial" w:cs="Arial"/>
                <w:sz w:val="40"/>
                <w:szCs w:val="52"/>
              </w:rPr>
            </w:pPr>
          </w:p>
          <w:p w14:paraId="23E87366" w14:textId="3FB8544A" w:rsidR="00C03658" w:rsidRPr="00DD1425" w:rsidRDefault="00C03658" w:rsidP="00C12695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ind w:left="176"/>
              <w:outlineLvl w:val="0"/>
              <w:rPr>
                <w:rFonts w:ascii="Arial" w:hAnsi="Arial" w:cs="Arial"/>
                <w:sz w:val="52"/>
                <w:szCs w:val="52"/>
              </w:rPr>
            </w:pPr>
            <w:r w:rsidRPr="00DD1425">
              <w:rPr>
                <w:rFonts w:ascii="Arial" w:hAnsi="Arial" w:cs="Arial"/>
                <w:sz w:val="52"/>
                <w:szCs w:val="52"/>
              </w:rPr>
              <w:t xml:space="preserve">Договор </w:t>
            </w:r>
          </w:p>
          <w:p w14:paraId="5A8D22FB" w14:textId="5E28A071" w:rsidR="00C03658" w:rsidRPr="00DD1425" w:rsidRDefault="009B06B8" w:rsidP="00C12695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ind w:left="176"/>
              <w:outlineLvl w:val="0"/>
              <w:rPr>
                <w:rFonts w:ascii="Arial" w:hAnsi="Arial" w:cs="Arial"/>
                <w:bCs/>
                <w:sz w:val="32"/>
                <w:szCs w:val="32"/>
              </w:rPr>
            </w:pPr>
            <w:r w:rsidRPr="00DD1425">
              <w:rPr>
                <w:rFonts w:ascii="Arial" w:hAnsi="Arial" w:cs="Arial"/>
                <w:sz w:val="32"/>
                <w:szCs w:val="32"/>
              </w:rPr>
              <w:t xml:space="preserve">банковского обслуживания Партнеров Kaspi </w:t>
            </w:r>
            <w:r w:rsidR="00BB310F" w:rsidRPr="00DD1425">
              <w:rPr>
                <w:rFonts w:ascii="Arial" w:hAnsi="Arial" w:cs="Arial"/>
                <w:sz w:val="32"/>
                <w:szCs w:val="32"/>
                <w:lang w:val="en-US"/>
              </w:rPr>
              <w:t>Business</w:t>
            </w:r>
          </w:p>
        </w:tc>
      </w:tr>
      <w:tr w:rsidR="00B44C84" w:rsidRPr="00DD1425" w14:paraId="3420AE0F" w14:textId="77777777" w:rsidTr="00DA71BD">
        <w:trPr>
          <w:trHeight w:val="1214"/>
        </w:trPr>
        <w:tc>
          <w:tcPr>
            <w:tcW w:w="10880" w:type="dxa"/>
            <w:gridSpan w:val="2"/>
          </w:tcPr>
          <w:p w14:paraId="4A8EEC11" w14:textId="77777777" w:rsidR="009B06B8" w:rsidRPr="00DD1425" w:rsidRDefault="009B06B8" w:rsidP="00C1269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93AE99C" w14:textId="4A54DF32" w:rsidR="00C03658" w:rsidRPr="00DD1425" w:rsidRDefault="00BB310F" w:rsidP="00C1269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Настоящий Договор банковского обслуживания Партнеров </w:t>
            </w:r>
            <w:r w:rsidRPr="00DD1425">
              <w:rPr>
                <w:rFonts w:ascii="Arial" w:hAnsi="Arial" w:cs="Arial"/>
                <w:b/>
                <w:sz w:val="20"/>
                <w:szCs w:val="20"/>
              </w:rPr>
              <w:t xml:space="preserve">Kaspi </w:t>
            </w:r>
            <w:r w:rsidRPr="00DD1425">
              <w:rPr>
                <w:rFonts w:ascii="Arial" w:hAnsi="Arial" w:cs="Arial"/>
                <w:b/>
                <w:sz w:val="20"/>
                <w:szCs w:val="20"/>
                <w:lang w:val="en-US"/>
              </w:rPr>
              <w:t>Business</w:t>
            </w:r>
            <w:r w:rsidRPr="00DD14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>является договором присоединения, заключаемым в порядке, предусмотренном статьей 389 Гражданского кодекса Республики Казахстан</w:t>
            </w:r>
            <w:r w:rsidR="009B06B8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4C84" w:rsidRPr="00DD1425" w14:paraId="65AA2B55" w14:textId="77777777" w:rsidTr="00871ECD">
        <w:trPr>
          <w:trHeight w:val="435"/>
        </w:trPr>
        <w:tc>
          <w:tcPr>
            <w:tcW w:w="10880" w:type="dxa"/>
            <w:gridSpan w:val="2"/>
          </w:tcPr>
          <w:p w14:paraId="0CDBC1E5" w14:textId="6534EDC2" w:rsidR="00C03658" w:rsidRPr="00DD1425" w:rsidRDefault="00C03658" w:rsidP="00C1269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460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Термины"/>
            <w:r w:rsidRPr="00DD1425">
              <w:rPr>
                <w:rFonts w:ascii="Arial" w:hAnsi="Arial" w:cs="Arial"/>
                <w:color w:val="000000"/>
                <w:sz w:val="28"/>
                <w:szCs w:val="28"/>
              </w:rPr>
              <w:t>Термины и определения</w:t>
            </w:r>
            <w:bookmarkEnd w:id="0"/>
          </w:p>
        </w:tc>
      </w:tr>
      <w:tr w:rsidR="001D1CCF" w:rsidRPr="00DD1425" w14:paraId="2A32E619" w14:textId="77777777" w:rsidTr="00871ECD">
        <w:trPr>
          <w:trHeight w:val="502"/>
        </w:trPr>
        <w:tc>
          <w:tcPr>
            <w:tcW w:w="10880" w:type="dxa"/>
            <w:gridSpan w:val="2"/>
            <w:vAlign w:val="center"/>
          </w:tcPr>
          <w:p w14:paraId="4A549708" w14:textId="5B42558B" w:rsidR="001D1CCF" w:rsidRPr="00DD1425" w:rsidRDefault="001D1CCF" w:rsidP="00C12695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Call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– подразделение Банка или служба, осуществляющая прием и обработку звонков и писем от Партнеров, информирование о продуктах и услугах Банка и иные функции, определяемые Банком, для обслуживания Партнера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1D1CCF" w:rsidRPr="00DD1425" w14:paraId="1C1715F2" w14:textId="77777777" w:rsidTr="00871ECD">
        <w:trPr>
          <w:trHeight w:val="180"/>
        </w:trPr>
        <w:tc>
          <w:tcPr>
            <w:tcW w:w="10880" w:type="dxa"/>
            <w:gridSpan w:val="2"/>
            <w:vAlign w:val="center"/>
          </w:tcPr>
          <w:p w14:paraId="35586B3F" w14:textId="03D12775" w:rsidR="001D1CCF" w:rsidRPr="00DD1425" w:rsidRDefault="001D1CCF" w:rsidP="00C12695">
            <w:pPr>
              <w:tabs>
                <w:tab w:val="left" w:pos="0"/>
                <w:tab w:val="left" w:pos="175"/>
                <w:tab w:val="left" w:pos="459"/>
                <w:tab w:val="left" w:pos="549"/>
                <w:tab w:val="left" w:pos="601"/>
                <w:tab w:val="left" w:pos="1026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1.2. Kaspi </w:t>
            </w:r>
            <w:r w:rsidRPr="00DD1425">
              <w:rPr>
                <w:rFonts w:ascii="Arial" w:hAnsi="Arial" w:cs="Arial"/>
                <w:sz w:val="20"/>
                <w:szCs w:val="20"/>
                <w:lang w:val="en-US"/>
              </w:rPr>
              <w:t>Business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– программа обслуживания Партнеров на Онлайн платформе, в том числе Мобильное приложение «Kaspi Business»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14:paraId="2AB50FEB" w14:textId="77777777" w:rsidTr="00871ECD">
        <w:trPr>
          <w:trHeight w:val="254"/>
        </w:trPr>
        <w:tc>
          <w:tcPr>
            <w:tcW w:w="10880" w:type="dxa"/>
            <w:gridSpan w:val="2"/>
            <w:vAlign w:val="center"/>
          </w:tcPr>
          <w:p w14:paraId="68C6B906" w14:textId="301A9C2A" w:rsidR="00C03658" w:rsidRPr="00DD1425" w:rsidRDefault="00C03658" w:rsidP="00C12695">
            <w:pPr>
              <w:pStyle w:val="a5"/>
              <w:tabs>
                <w:tab w:val="left" w:pos="142"/>
                <w:tab w:val="left" w:pos="567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1.3.</w:t>
            </w:r>
            <w:r w:rsidR="009B06B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B310F" w:rsidRPr="00DD1425">
              <w:rPr>
                <w:rFonts w:ascii="Arial" w:hAnsi="Arial" w:cs="Arial"/>
                <w:sz w:val="20"/>
                <w:szCs w:val="20"/>
              </w:rPr>
              <w:t>Банк</w:t>
            </w:r>
            <w:r w:rsidR="00BB310F" w:rsidRPr="00DD14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310F" w:rsidRPr="00DD1425">
              <w:rPr>
                <w:rFonts w:ascii="Arial" w:hAnsi="Arial" w:cs="Arial"/>
                <w:sz w:val="20"/>
                <w:szCs w:val="20"/>
              </w:rPr>
              <w:t>– АО «Kaspi Bank»</w:t>
            </w:r>
            <w:r w:rsidR="009B06B8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34972327" w14:textId="77777777" w:rsidTr="00DA71BD">
        <w:trPr>
          <w:trHeight w:val="474"/>
        </w:trPr>
        <w:tc>
          <w:tcPr>
            <w:tcW w:w="10880" w:type="dxa"/>
            <w:gridSpan w:val="2"/>
            <w:vAlign w:val="center"/>
          </w:tcPr>
          <w:p w14:paraId="17305770" w14:textId="475E44D5" w:rsidR="00C03658" w:rsidRPr="00DD1425" w:rsidRDefault="00C03658" w:rsidP="00C12695">
            <w:pPr>
              <w:pStyle w:val="a5"/>
              <w:tabs>
                <w:tab w:val="left" w:pos="142"/>
                <w:tab w:val="left" w:pos="567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1.4. </w:t>
            </w:r>
            <w:r w:rsidR="00BB310F" w:rsidRPr="00DD1425">
              <w:rPr>
                <w:rFonts w:ascii="Arial" w:hAnsi="Arial" w:cs="Arial"/>
                <w:sz w:val="20"/>
                <w:szCs w:val="20"/>
              </w:rPr>
              <w:t>Выписка – информация о проведенных за выбранный период Операциях по Счету, направляемая Банком Партнеру в порядке, предусмотренном ДБО Партнеров</w:t>
            </w:r>
            <w:r w:rsidR="009B06B8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6E9FBF60" w14:textId="77777777" w:rsidTr="00B25A7B">
        <w:trPr>
          <w:trHeight w:val="154"/>
        </w:trPr>
        <w:tc>
          <w:tcPr>
            <w:tcW w:w="10880" w:type="dxa"/>
            <w:gridSpan w:val="2"/>
            <w:vAlign w:val="center"/>
          </w:tcPr>
          <w:p w14:paraId="0E5BB0F1" w14:textId="5087DC12" w:rsidR="00C03658" w:rsidRPr="00DD1425" w:rsidRDefault="00BB310F" w:rsidP="00C12695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459"/>
                <w:tab w:val="left" w:pos="601"/>
              </w:tabs>
              <w:ind w:left="176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ДБО Партнеров – настоящий Договор банковского обслуживания Партнеров Kaspi </w:t>
            </w:r>
            <w:r w:rsidRPr="00DD1425">
              <w:rPr>
                <w:rFonts w:ascii="Arial" w:hAnsi="Arial" w:cs="Arial"/>
                <w:sz w:val="20"/>
                <w:szCs w:val="20"/>
                <w:lang w:val="en-US"/>
              </w:rPr>
              <w:t>Business</w:t>
            </w:r>
            <w:r w:rsidRPr="00DD1425">
              <w:rPr>
                <w:rFonts w:ascii="Arial" w:hAnsi="Arial" w:cs="Arial"/>
                <w:sz w:val="20"/>
                <w:szCs w:val="20"/>
              </w:rPr>
              <w:t>, условия которого опубликованы на Сайте и могут быть приняты Партнером путем присоединения к предложенному договору в целом</w:t>
            </w:r>
            <w:r w:rsidR="009B06B8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50286702" w14:textId="77777777" w:rsidTr="00B25A7B">
        <w:trPr>
          <w:trHeight w:val="178"/>
        </w:trPr>
        <w:tc>
          <w:tcPr>
            <w:tcW w:w="10880" w:type="dxa"/>
            <w:gridSpan w:val="2"/>
            <w:vAlign w:val="center"/>
          </w:tcPr>
          <w:p w14:paraId="67700979" w14:textId="105A6B4E" w:rsidR="00C03658" w:rsidRPr="00DD1425" w:rsidRDefault="00BB310F" w:rsidP="00C12695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459"/>
                <w:tab w:val="left" w:pos="601"/>
              </w:tabs>
              <w:ind w:left="176"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Заявление на присоединение – заявление, подписываемое Партнером, содержащее согласие Партнера на присоединение к ДБО Партнеров, составленное по установленной Банком форме</w:t>
            </w:r>
            <w:r w:rsidR="009B06B8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38D24BB0" w14:textId="77777777" w:rsidTr="00B25A7B">
        <w:trPr>
          <w:trHeight w:val="425"/>
        </w:trPr>
        <w:tc>
          <w:tcPr>
            <w:tcW w:w="10880" w:type="dxa"/>
            <w:gridSpan w:val="2"/>
            <w:vAlign w:val="center"/>
          </w:tcPr>
          <w:p w14:paraId="14771E4E" w14:textId="3B4BD44D" w:rsidR="00C03658" w:rsidRPr="00DD1425" w:rsidRDefault="001D1CCF" w:rsidP="00C12695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459"/>
                <w:tab w:val="left" w:pos="601"/>
              </w:tabs>
              <w:ind w:left="17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Канал Связи – сеть телекоммуникаций, используемая Партнером/Пользователем/Банком, включающая электронную почту (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), почтовую связь, Kaspi </w:t>
            </w:r>
            <w:r w:rsidRPr="00DD1425">
              <w:rPr>
                <w:rFonts w:ascii="Arial" w:hAnsi="Arial" w:cs="Arial"/>
                <w:sz w:val="20"/>
                <w:szCs w:val="20"/>
                <w:lang w:val="en-US"/>
              </w:rPr>
              <w:t>Business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, мобильный банкинг, SMS-сообщений, </w:t>
            </w:r>
            <w:r w:rsidRPr="00DD1425">
              <w:rPr>
                <w:rFonts w:ascii="Arial" w:hAnsi="Arial" w:cs="Arial"/>
                <w:sz w:val="20"/>
                <w:szCs w:val="20"/>
                <w:lang w:val="en-US"/>
              </w:rPr>
              <w:t>Push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– уведомлений посредством Мобильного приложения «Kaspi Business» и/или Личного кабинета, телефон, факс, электронные терминалы, Интернет и иные каналы связи, являющиеся таковыми согласно законодательству РК;</w:t>
            </w:r>
          </w:p>
        </w:tc>
      </w:tr>
      <w:tr w:rsidR="00295CDB" w:rsidRPr="00DD1425" w14:paraId="4891D2C7" w14:textId="77777777" w:rsidTr="00DA71BD">
        <w:trPr>
          <w:trHeight w:val="235"/>
        </w:trPr>
        <w:tc>
          <w:tcPr>
            <w:tcW w:w="10880" w:type="dxa"/>
            <w:gridSpan w:val="2"/>
            <w:vAlign w:val="center"/>
          </w:tcPr>
          <w:p w14:paraId="544A7C5D" w14:textId="31C7CA6A" w:rsidR="00C03658" w:rsidRPr="00DD1425" w:rsidRDefault="00A026CF" w:rsidP="00C12695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459"/>
                <w:tab w:val="left" w:pos="601"/>
              </w:tabs>
              <w:ind w:left="17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Клиент – лицо, с которым у Банка заключены банковские договоры</w:t>
            </w:r>
            <w:r w:rsidR="009B06B8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30D5A6B4" w14:textId="77777777" w:rsidTr="00B25A7B">
        <w:trPr>
          <w:trHeight w:val="102"/>
        </w:trPr>
        <w:tc>
          <w:tcPr>
            <w:tcW w:w="10880" w:type="dxa"/>
            <w:gridSpan w:val="2"/>
            <w:vAlign w:val="center"/>
          </w:tcPr>
          <w:p w14:paraId="08FB6EC8" w14:textId="6DB2B975" w:rsidR="00C03658" w:rsidRPr="00DD1425" w:rsidRDefault="00C03658" w:rsidP="00C12695">
            <w:pPr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1.9. </w:t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>Личный кабинет - информационный раздел на Kaspi Business, доступ к которому осуществляется по защищённому Каналу связи в сети Интернет для получения Электронных услуг</w:t>
            </w:r>
            <w:r w:rsidR="009B06B8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B06B8" w:rsidRPr="00DD1425" w14:paraId="78CBFBB4" w14:textId="77777777" w:rsidTr="00DA71BD">
        <w:trPr>
          <w:trHeight w:val="502"/>
        </w:trPr>
        <w:tc>
          <w:tcPr>
            <w:tcW w:w="10880" w:type="dxa"/>
            <w:gridSpan w:val="2"/>
            <w:vAlign w:val="center"/>
          </w:tcPr>
          <w:p w14:paraId="2C5FF879" w14:textId="71300BE8" w:rsidR="009B06B8" w:rsidRPr="00DD1425" w:rsidRDefault="009B06B8" w:rsidP="00C12695">
            <w:pPr>
              <w:pStyle w:val="a5"/>
              <w:widowControl w:val="0"/>
              <w:tabs>
                <w:tab w:val="left" w:pos="459"/>
                <w:tab w:val="left" w:pos="627"/>
                <w:tab w:val="left" w:pos="769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1.10. </w:t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>Онлайн платформа - сайт www.kaspi.kz/business в сети Интернет, обеспечивающий совершение электронных банковских услуг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B06B8" w:rsidRPr="00DD1425" w14:paraId="2EE165EB" w14:textId="77777777" w:rsidTr="00871ECD">
        <w:trPr>
          <w:trHeight w:val="645"/>
        </w:trPr>
        <w:tc>
          <w:tcPr>
            <w:tcW w:w="10880" w:type="dxa"/>
            <w:gridSpan w:val="2"/>
            <w:vAlign w:val="center"/>
          </w:tcPr>
          <w:p w14:paraId="0C2CD483" w14:textId="04ECD877" w:rsidR="009B06B8" w:rsidRPr="00DD1425" w:rsidRDefault="009B06B8" w:rsidP="00C12695">
            <w:pPr>
              <w:pStyle w:val="a5"/>
              <w:widowControl w:val="0"/>
              <w:tabs>
                <w:tab w:val="left" w:pos="1818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1.11. </w:t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>Операционный день - период времени, установленный в Банке, в течение которого осуществляются прием и обработка платежных услуг, указаний, распоряжений о приостановлении исполнения указаний либо отзыве таких указаний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B06B8" w:rsidRPr="00DD1425" w14:paraId="212F1EDF" w14:textId="77777777" w:rsidTr="00871ECD">
        <w:trPr>
          <w:trHeight w:val="618"/>
        </w:trPr>
        <w:tc>
          <w:tcPr>
            <w:tcW w:w="10880" w:type="dxa"/>
            <w:gridSpan w:val="2"/>
            <w:vAlign w:val="center"/>
          </w:tcPr>
          <w:p w14:paraId="39DF84FC" w14:textId="6AB4E052" w:rsidR="009B06B8" w:rsidRPr="00DD1425" w:rsidRDefault="009B06B8" w:rsidP="00C12695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1.12. </w:t>
            </w:r>
            <w:r w:rsidR="00431E37" w:rsidRPr="00DD1425">
              <w:rPr>
                <w:rFonts w:ascii="Arial" w:hAnsi="Arial" w:cs="Arial"/>
                <w:sz w:val="20"/>
                <w:szCs w:val="20"/>
              </w:rPr>
              <w:t xml:space="preserve">Операция – любая подлежащая отражению на Счетах операция (транзакция), переводы и платежи, операции по списанию со Счетов начисленных плат, комиссий и вознаграждений, получение наличных денег, пополнение Счета, обмен валюты, в том числе и другие операции, подлежащие отражению на Счетах Партнера; </w:t>
            </w:r>
          </w:p>
        </w:tc>
      </w:tr>
      <w:tr w:rsidR="00295CDB" w:rsidRPr="00DD1425" w14:paraId="7A94C70B" w14:textId="77777777" w:rsidTr="00DA71BD">
        <w:trPr>
          <w:trHeight w:val="487"/>
        </w:trPr>
        <w:tc>
          <w:tcPr>
            <w:tcW w:w="10880" w:type="dxa"/>
            <w:gridSpan w:val="2"/>
            <w:vAlign w:val="center"/>
          </w:tcPr>
          <w:p w14:paraId="1DD11EBC" w14:textId="42B30B8F" w:rsidR="009B06B8" w:rsidRPr="00DD1425" w:rsidRDefault="009B06B8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1.13. </w:t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>Партнер – лицо, заключившее ДБО Партнеров, путем подписания Заявления о присоединении, и являющееся Клиентом Банка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2A0E0B8D" w14:textId="77777777" w:rsidTr="00DA71BD">
        <w:trPr>
          <w:trHeight w:val="474"/>
        </w:trPr>
        <w:tc>
          <w:tcPr>
            <w:tcW w:w="10880" w:type="dxa"/>
            <w:gridSpan w:val="2"/>
            <w:vAlign w:val="center"/>
          </w:tcPr>
          <w:p w14:paraId="38A4EC67" w14:textId="165CA3DF" w:rsidR="009B06B8" w:rsidRPr="00DD1425" w:rsidRDefault="009B06B8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1.14.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>Платежная услуга – услуга по приему и осуществлению платежа и (или) перевода денег с использованием Счета, а также услуги, предусмотренные Приложением и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1A112683" w14:textId="77777777" w:rsidTr="00DA71BD">
        <w:trPr>
          <w:trHeight w:val="683"/>
        </w:trPr>
        <w:tc>
          <w:tcPr>
            <w:tcW w:w="10880" w:type="dxa"/>
            <w:gridSpan w:val="2"/>
            <w:vAlign w:val="center"/>
          </w:tcPr>
          <w:p w14:paraId="77DDFBC8" w14:textId="285EDC51" w:rsidR="009B06B8" w:rsidRPr="00DD1425" w:rsidRDefault="009B06B8" w:rsidP="00C12695">
            <w:pPr>
              <w:pStyle w:val="a5"/>
              <w:widowControl w:val="0"/>
              <w:tabs>
                <w:tab w:val="left" w:pos="459"/>
                <w:tab w:val="left" w:pos="598"/>
                <w:tab w:val="left" w:pos="881"/>
                <w:tab w:val="left" w:pos="991"/>
              </w:tabs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1.15.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>ПОД/ФТ</w:t>
            </w:r>
            <w:r w:rsidR="00A026CF" w:rsidRPr="00DD1425" w:rsidDel="00D72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>- комплекс мероприятий, проводимых Банком при обслуживании клиентов Банка, в рамках законодательства о противодействии легализации (отмыванию) доходов, полученных преступным путем, и финансированию терроризма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3FEDB273" w14:textId="77777777" w:rsidTr="00871ECD">
        <w:trPr>
          <w:trHeight w:val="240"/>
        </w:trPr>
        <w:tc>
          <w:tcPr>
            <w:tcW w:w="10880" w:type="dxa"/>
            <w:gridSpan w:val="2"/>
            <w:vAlign w:val="center"/>
          </w:tcPr>
          <w:p w14:paraId="1EFF3700" w14:textId="44B2F86B" w:rsidR="009B06B8" w:rsidRPr="00DD1425" w:rsidRDefault="009B06B8" w:rsidP="00C12695">
            <w:pPr>
              <w:pStyle w:val="a5"/>
              <w:widowControl w:val="0"/>
              <w:tabs>
                <w:tab w:val="left" w:pos="459"/>
                <w:tab w:val="left" w:pos="601"/>
                <w:tab w:val="left" w:pos="739"/>
                <w:tab w:val="left" w:pos="881"/>
                <w:tab w:val="left" w:pos="1086"/>
              </w:tabs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1.16.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>Пользователь – ответственный работник Партнера, определенный в Заявлении и/или в Личном кабинете, осуществляющий Операции на Онлайн платформе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64DC88DE" w14:textId="77777777" w:rsidTr="00871ECD">
        <w:trPr>
          <w:trHeight w:val="478"/>
        </w:trPr>
        <w:tc>
          <w:tcPr>
            <w:tcW w:w="10880" w:type="dxa"/>
            <w:gridSpan w:val="2"/>
            <w:vAlign w:val="center"/>
          </w:tcPr>
          <w:p w14:paraId="1CE3A924" w14:textId="39DC847E" w:rsidR="009B06B8" w:rsidRPr="00DD1425" w:rsidRDefault="009B06B8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1.17.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 xml:space="preserve">Приложение – неотъемлемая часть настоящего ДБО Партнеров, содержащая порядок и условия предоставления отдельных банковских </w:t>
            </w:r>
            <w:r w:rsidR="00ED55E0" w:rsidRPr="00DD1425">
              <w:rPr>
                <w:rFonts w:ascii="Arial" w:hAnsi="Arial" w:cs="Arial"/>
                <w:sz w:val="20"/>
                <w:szCs w:val="20"/>
              </w:rPr>
              <w:t xml:space="preserve">услуг; </w:t>
            </w:r>
          </w:p>
        </w:tc>
      </w:tr>
      <w:tr w:rsidR="00295CDB" w:rsidRPr="00DD1425" w14:paraId="4E1F6CDB" w14:textId="77777777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14:paraId="7B7B8EBA" w14:textId="2A98D44F" w:rsidR="009B06B8" w:rsidRPr="00DD1425" w:rsidRDefault="009B06B8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1.18.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 xml:space="preserve">Регистрация - действия Партнера, направленные на получение доступа к Личному кабинету, посредством введения Логина и Пароля на Kaspi </w:t>
            </w:r>
            <w:r w:rsidR="00A026CF" w:rsidRPr="00DD1425">
              <w:rPr>
                <w:rFonts w:ascii="Arial" w:hAnsi="Arial" w:cs="Arial"/>
                <w:sz w:val="20"/>
                <w:szCs w:val="20"/>
                <w:lang w:val="en-US"/>
              </w:rPr>
              <w:t>Business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6079FA58" w14:textId="77777777" w:rsidTr="00871ECD">
        <w:trPr>
          <w:trHeight w:val="268"/>
        </w:trPr>
        <w:tc>
          <w:tcPr>
            <w:tcW w:w="10880" w:type="dxa"/>
            <w:gridSpan w:val="2"/>
            <w:vAlign w:val="center"/>
          </w:tcPr>
          <w:p w14:paraId="269FEDFE" w14:textId="4533E0D7" w:rsidR="009B06B8" w:rsidRPr="00DD1425" w:rsidRDefault="009B06B8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1.19.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 xml:space="preserve">Сайт – </w:t>
            </w:r>
            <w:hyperlink r:id="rId8" w:history="1">
              <w:r w:rsidR="00A026CF" w:rsidRPr="00DD1425">
                <w:rPr>
                  <w:rFonts w:ascii="Arial" w:hAnsi="Arial" w:cs="Arial"/>
                  <w:sz w:val="20"/>
                  <w:szCs w:val="20"/>
                </w:rPr>
                <w:t>www.kaspi.kz</w:t>
              </w:r>
            </w:hyperlink>
            <w:r w:rsidR="00A026CF" w:rsidRPr="00DD1425">
              <w:rPr>
                <w:rStyle w:val="a8"/>
                <w:rFonts w:ascii="Arial" w:hAnsi="Arial" w:cs="Arial"/>
                <w:sz w:val="20"/>
                <w:szCs w:val="20"/>
              </w:rPr>
              <w:t>/</w:t>
            </w:r>
            <w:r w:rsidR="00A026CF" w:rsidRPr="00DD1425">
              <w:rPr>
                <w:rStyle w:val="a8"/>
                <w:rFonts w:ascii="Arial" w:hAnsi="Arial" w:cs="Arial"/>
                <w:sz w:val="20"/>
                <w:szCs w:val="20"/>
                <w:lang w:val="en-US"/>
              </w:rPr>
              <w:t>business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27620270" w14:textId="77777777" w:rsidTr="00871ECD">
        <w:trPr>
          <w:trHeight w:val="664"/>
        </w:trPr>
        <w:tc>
          <w:tcPr>
            <w:tcW w:w="10880" w:type="dxa"/>
            <w:gridSpan w:val="2"/>
            <w:vAlign w:val="center"/>
          </w:tcPr>
          <w:p w14:paraId="4285F057" w14:textId="2056FE5D" w:rsidR="009B06B8" w:rsidRPr="00DD1425" w:rsidRDefault="009B06B8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2" w:firstLine="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1.20.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 xml:space="preserve">Спорная ситуация – ситуация, возникшая при оказании платежной услуги, связанная возможной </w:t>
            </w:r>
            <w:proofErr w:type="spellStart"/>
            <w:r w:rsidR="00A026CF" w:rsidRPr="00DD1425">
              <w:rPr>
                <w:rFonts w:ascii="Arial" w:hAnsi="Arial" w:cs="Arial"/>
                <w:sz w:val="20"/>
                <w:szCs w:val="20"/>
              </w:rPr>
              <w:t>несанкционированностью</w:t>
            </w:r>
            <w:proofErr w:type="spellEnd"/>
            <w:r w:rsidR="00A026CF" w:rsidRPr="00DD1425">
              <w:rPr>
                <w:rFonts w:ascii="Arial" w:hAnsi="Arial" w:cs="Arial"/>
                <w:sz w:val="20"/>
                <w:szCs w:val="20"/>
              </w:rPr>
              <w:t xml:space="preserve"> платежа, или иным вопросам, связанным с ненадлежащим оказанием платёжной услуги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B06B8" w:rsidRPr="00DD1425" w14:paraId="16381488" w14:textId="77777777" w:rsidTr="00871ECD">
        <w:trPr>
          <w:trHeight w:val="241"/>
        </w:trPr>
        <w:tc>
          <w:tcPr>
            <w:tcW w:w="10880" w:type="dxa"/>
            <w:gridSpan w:val="2"/>
            <w:vAlign w:val="center"/>
          </w:tcPr>
          <w:p w14:paraId="1FC2FB86" w14:textId="0FE7FA3A" w:rsidR="009B06B8" w:rsidRPr="00DD1425" w:rsidRDefault="009B06B8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1.21.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>Счет – банковский(</w:t>
            </w:r>
            <w:proofErr w:type="spellStart"/>
            <w:r w:rsidR="00A026CF" w:rsidRPr="00DD1425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r w:rsidR="00A026CF" w:rsidRPr="00DD1425">
              <w:rPr>
                <w:rFonts w:ascii="Arial" w:hAnsi="Arial" w:cs="Arial"/>
                <w:sz w:val="20"/>
                <w:szCs w:val="20"/>
              </w:rPr>
              <w:t>) счет(а) Партнера, открытые в Банке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4C644A93" w14:textId="77777777" w:rsidTr="00DA71BD">
        <w:trPr>
          <w:trHeight w:val="462"/>
        </w:trPr>
        <w:tc>
          <w:tcPr>
            <w:tcW w:w="10880" w:type="dxa"/>
            <w:gridSpan w:val="2"/>
            <w:vAlign w:val="center"/>
          </w:tcPr>
          <w:p w14:paraId="20508753" w14:textId="76FAAB2E" w:rsidR="009B06B8" w:rsidRPr="00DD1425" w:rsidRDefault="009B06B8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1.22.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>Тарифный план –условия и сведения о перечне банковских услуг, включающие размер комиссий и порядок предоставления банковской услуги с определением ее стоимости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62A14F80" w14:textId="77777777" w:rsidTr="00DA71BD">
        <w:trPr>
          <w:trHeight w:val="279"/>
        </w:trPr>
        <w:tc>
          <w:tcPr>
            <w:tcW w:w="10880" w:type="dxa"/>
            <w:gridSpan w:val="2"/>
            <w:vAlign w:val="center"/>
          </w:tcPr>
          <w:p w14:paraId="3E8DD7EC" w14:textId="679B7280" w:rsidR="009B06B8" w:rsidRPr="00DD1425" w:rsidRDefault="009B06B8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1.23.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>Тарифы Банка – утвержденные уполномоченным органом Банка ставки комиссий за Услуги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31DAF3C7" w14:textId="77777777" w:rsidTr="00871ECD">
        <w:trPr>
          <w:trHeight w:val="480"/>
        </w:trPr>
        <w:tc>
          <w:tcPr>
            <w:tcW w:w="10880" w:type="dxa"/>
            <w:gridSpan w:val="2"/>
            <w:vAlign w:val="center"/>
          </w:tcPr>
          <w:p w14:paraId="6173C860" w14:textId="20EACD50" w:rsidR="009B06B8" w:rsidRPr="00DD1425" w:rsidRDefault="009B06B8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2" w:firstLine="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1.24.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>Услуга – банковская услуга или комплекс банковских услуг, предусмотренных ДБО Партнеров и Приложениями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625F5F94" w14:textId="77777777" w:rsidTr="00871ECD">
        <w:trPr>
          <w:trHeight w:val="664"/>
        </w:trPr>
        <w:tc>
          <w:tcPr>
            <w:tcW w:w="10880" w:type="dxa"/>
            <w:gridSpan w:val="2"/>
            <w:vAlign w:val="center"/>
          </w:tcPr>
          <w:p w14:paraId="5EE11B48" w14:textId="7CE08367" w:rsidR="00375BAE" w:rsidRPr="00DD1425" w:rsidRDefault="009B06B8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1.25.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6CF" w:rsidRPr="00DD1425">
              <w:rPr>
                <w:rFonts w:ascii="Arial" w:hAnsi="Arial" w:cs="Arial"/>
                <w:sz w:val="20"/>
                <w:szCs w:val="20"/>
              </w:rPr>
              <w:t>Электронные Услуги - электронные банковские услуги, связанные с проведением платежей и (или) переводов денег, обменных операций с иностранной валютой с использованием банковского счета и осуществлением иных видов банковских операций</w:t>
            </w:r>
            <w:r w:rsidR="00375BAE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17DB2C" w14:textId="75D8EC6D" w:rsidR="009B06B8" w:rsidRPr="00DD1425" w:rsidRDefault="002510CC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1.26. У</w:t>
            </w:r>
            <w:r w:rsidR="00375BAE" w:rsidRPr="00DD1425">
              <w:rPr>
                <w:rFonts w:ascii="Arial" w:hAnsi="Arial" w:cs="Arial"/>
                <w:sz w:val="20"/>
                <w:szCs w:val="20"/>
              </w:rPr>
              <w:t xml:space="preserve">казание – </w:t>
            </w:r>
            <w:r w:rsidR="00C11546" w:rsidRPr="00DD1425">
              <w:rPr>
                <w:rFonts w:ascii="Arial" w:hAnsi="Arial" w:cs="Arial"/>
                <w:sz w:val="20"/>
                <w:szCs w:val="20"/>
              </w:rPr>
              <w:t xml:space="preserve">распоряжение </w:t>
            </w:r>
            <w:r w:rsidR="003A47C9" w:rsidRPr="00DD1425">
              <w:rPr>
                <w:rFonts w:ascii="Arial" w:hAnsi="Arial" w:cs="Arial"/>
                <w:sz w:val="20"/>
                <w:szCs w:val="20"/>
              </w:rPr>
              <w:t xml:space="preserve">Пользователя </w:t>
            </w:r>
            <w:r w:rsidR="00C11546" w:rsidRPr="00DD1425">
              <w:rPr>
                <w:rFonts w:ascii="Arial" w:hAnsi="Arial" w:cs="Arial"/>
                <w:sz w:val="20"/>
                <w:szCs w:val="20"/>
              </w:rPr>
              <w:t>Банку об осуществлении платежа</w:t>
            </w:r>
            <w:r w:rsidR="006A27A5" w:rsidRPr="00DD1425">
              <w:rPr>
                <w:rFonts w:ascii="Arial" w:hAnsi="Arial" w:cs="Arial"/>
                <w:sz w:val="20"/>
                <w:szCs w:val="20"/>
              </w:rPr>
              <w:t xml:space="preserve"> и/или перевода денег</w:t>
            </w:r>
            <w:r w:rsidR="00C11546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7C9" w:rsidRPr="00DD1425">
              <w:rPr>
                <w:rFonts w:ascii="Arial" w:hAnsi="Arial" w:cs="Arial"/>
                <w:sz w:val="20"/>
                <w:szCs w:val="20"/>
              </w:rPr>
              <w:t xml:space="preserve">путем предоставления </w:t>
            </w:r>
            <w:r w:rsidR="006A27A5" w:rsidRPr="00DD1425">
              <w:rPr>
                <w:rFonts w:ascii="Arial" w:hAnsi="Arial" w:cs="Arial"/>
                <w:sz w:val="20"/>
                <w:szCs w:val="20"/>
              </w:rPr>
              <w:t>платежного документа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7C6D829" w14:textId="12A210EF" w:rsidR="001D1CCF" w:rsidRPr="00DD1425" w:rsidRDefault="001D1CCF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1.27. Экосистема Kaspi – совокупность сервисов, продуктов и инфраструктуры Kaspi, по отдельности или в совокупности, в том числе открытие счетов, осуществление платежей и переводов, отделения, кассы, терминалы, банкоматы, иное оборудование, сайт Kaspi.kz, мобильное приложение Kaspi.kz и иное программное обеспечение, платежные карты Kaspi, обслуживание в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Call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и иные средства, обеспечивающие возможность обслуживания по Договору, включая, предоставление электронных информационных и транзакционных услуг.</w:t>
            </w:r>
          </w:p>
        </w:tc>
      </w:tr>
      <w:tr w:rsidR="00295CDB" w:rsidRPr="00DD1425" w14:paraId="6E8EE730" w14:textId="77777777" w:rsidTr="00871ECD">
        <w:trPr>
          <w:trHeight w:val="725"/>
        </w:trPr>
        <w:tc>
          <w:tcPr>
            <w:tcW w:w="10880" w:type="dxa"/>
            <w:gridSpan w:val="2"/>
            <w:vAlign w:val="center"/>
          </w:tcPr>
          <w:p w14:paraId="4F6EF3E1" w14:textId="4058E7C5" w:rsidR="009B06B8" w:rsidRPr="00DD1425" w:rsidRDefault="00A026CF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Иные термины и определения, не указанные в настоящей статье ДБО Партнеров, могут определяться в Приложениях к настоящему ДБО Партнеров. Термины и определения, используемые в Приложениях, применяются к отношениям, возникающим согласно соответствующему Приложению</w:t>
            </w:r>
            <w:r w:rsidR="009B06B8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14:paraId="343912A2" w14:textId="77777777" w:rsidTr="00871ECD">
        <w:trPr>
          <w:trHeight w:val="645"/>
        </w:trPr>
        <w:tc>
          <w:tcPr>
            <w:tcW w:w="10880" w:type="dxa"/>
            <w:gridSpan w:val="2"/>
            <w:vAlign w:val="bottom"/>
          </w:tcPr>
          <w:p w14:paraId="4E692EE6" w14:textId="195E9CA3" w:rsidR="00C03658" w:rsidRPr="00DD1425" w:rsidRDefault="00741254" w:rsidP="00C1269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175" w:firstLine="1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bCs/>
                <w:sz w:val="28"/>
                <w:szCs w:val="28"/>
              </w:rPr>
              <w:t>Общие условия и порядок заключения Д</w:t>
            </w:r>
            <w:r w:rsidR="005E5BD1" w:rsidRPr="00DD1425">
              <w:rPr>
                <w:rFonts w:ascii="Arial" w:hAnsi="Arial" w:cs="Arial"/>
                <w:bCs/>
                <w:sz w:val="28"/>
                <w:szCs w:val="28"/>
              </w:rPr>
              <w:t>БО Партнеров</w:t>
            </w:r>
          </w:p>
        </w:tc>
      </w:tr>
      <w:tr w:rsidR="00295CDB" w:rsidRPr="00DD1425" w14:paraId="65366C84" w14:textId="77777777" w:rsidTr="00871ECD">
        <w:trPr>
          <w:trHeight w:val="362"/>
        </w:trPr>
        <w:tc>
          <w:tcPr>
            <w:tcW w:w="10880" w:type="dxa"/>
            <w:gridSpan w:val="2"/>
            <w:vAlign w:val="bottom"/>
          </w:tcPr>
          <w:p w14:paraId="702C0E88" w14:textId="75B207AA" w:rsidR="00C03658" w:rsidRPr="00DD1425" w:rsidRDefault="00C03658" w:rsidP="00C12695">
            <w:pPr>
              <w:tabs>
                <w:tab w:val="left" w:pos="0"/>
                <w:tab w:val="left" w:pos="142"/>
                <w:tab w:val="left" w:pos="172"/>
                <w:tab w:val="left" w:pos="507"/>
                <w:tab w:val="left" w:pos="549"/>
              </w:tabs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2.1</w:t>
            </w:r>
            <w:r w:rsidR="00683796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="007F3900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Банк предоставляет Услуги согласно ДБО Партнеров и Приложениями, а Партнер обязуется их оплатить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14:paraId="2C0746FD" w14:textId="77777777" w:rsidTr="00DA71BD">
        <w:trPr>
          <w:trHeight w:val="487"/>
        </w:trPr>
        <w:tc>
          <w:tcPr>
            <w:tcW w:w="10880" w:type="dxa"/>
            <w:gridSpan w:val="2"/>
          </w:tcPr>
          <w:p w14:paraId="0BADF7C7" w14:textId="15A95984" w:rsidR="00C03658" w:rsidRPr="00DD1425" w:rsidRDefault="00C03658" w:rsidP="00C12695">
            <w:pPr>
              <w:tabs>
                <w:tab w:val="left" w:pos="0"/>
                <w:tab w:val="left" w:pos="142"/>
                <w:tab w:val="left" w:pos="172"/>
                <w:tab w:val="left" w:pos="507"/>
                <w:tab w:val="left" w:pos="549"/>
              </w:tabs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7F3900" w:rsidRPr="00DD1425">
              <w:rPr>
                <w:rFonts w:ascii="Arial" w:hAnsi="Arial" w:cs="Arial"/>
                <w:bCs/>
                <w:sz w:val="20"/>
                <w:szCs w:val="20"/>
              </w:rPr>
              <w:t>Банк осуществляет предоставление Услуг в течение Операционного дня, если Приложением не предусмотрен</w:t>
            </w:r>
            <w:r w:rsidR="000143B6" w:rsidRPr="00DD1425">
              <w:rPr>
                <w:rFonts w:ascii="Arial" w:hAnsi="Arial" w:cs="Arial"/>
                <w:bCs/>
                <w:sz w:val="20"/>
                <w:szCs w:val="20"/>
              </w:rPr>
              <w:t>о иное</w:t>
            </w:r>
            <w:r w:rsidR="007F3900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14:paraId="28415E7B" w14:textId="77777777" w:rsidTr="00B25A7B">
        <w:trPr>
          <w:trHeight w:val="602"/>
        </w:trPr>
        <w:tc>
          <w:tcPr>
            <w:tcW w:w="10880" w:type="dxa"/>
            <w:gridSpan w:val="2"/>
          </w:tcPr>
          <w:p w14:paraId="2BB70B83" w14:textId="2A94548B" w:rsidR="00C03658" w:rsidRPr="00DD1425" w:rsidRDefault="007F3900" w:rsidP="00C12695">
            <w:pPr>
              <w:widowControl w:val="0"/>
              <w:tabs>
                <w:tab w:val="left" w:pos="0"/>
                <w:tab w:val="left" w:pos="172"/>
                <w:tab w:val="left" w:pos="459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2.3.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Порядок и условия предоставления отдельной банковской услуги определяются в Приложениях к ДБО Партнеров. Банковские услуги, определенные в Приложениях к ДБО Партнеров, становятся доступными и оказываются Банком с момента размещения соответствующего Приложения на Сайте. Приложения к ДБО Партнеров являются неотъемлемой частью ДБО Партнеров с момента их размещения на Сайте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03658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5CDB" w:rsidRPr="00DD1425" w14:paraId="47D87A3B" w14:textId="77777777" w:rsidTr="00B25A7B">
        <w:trPr>
          <w:trHeight w:val="772"/>
        </w:trPr>
        <w:tc>
          <w:tcPr>
            <w:tcW w:w="10880" w:type="dxa"/>
            <w:gridSpan w:val="2"/>
          </w:tcPr>
          <w:p w14:paraId="1B9896A8" w14:textId="1C0E689F" w:rsidR="00C03658" w:rsidRPr="00DD1425" w:rsidRDefault="00F376A0" w:rsidP="00C12695">
            <w:pPr>
              <w:tabs>
                <w:tab w:val="left" w:pos="884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DD1425">
              <w:rPr>
                <w:rFonts w:ascii="Arial" w:hAnsi="Arial" w:cs="Arial"/>
                <w:sz w:val="20"/>
                <w:szCs w:val="20"/>
                <w:lang w:val="kk-KZ"/>
              </w:rPr>
              <w:t xml:space="preserve">2.4.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Платеж и (или) перевод денег по Операциям осуществляется с использованием средства электронного платежа согласно законодательству Республики Казахстан и Приложениям, и платежные документы оформляются в электронной форме. Платежные услуги могут совершаться на основании бумажных носителей, предоставленных Партнёром, по усмотрению Банка и при наличии такой возможности. Банк вправе отказать в совершении Операции в случае предъявления платёжного документа Партнером на бумажном носителе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D1CCF" w:rsidRPr="00DD1425" w14:paraId="7DBD93D0" w14:textId="77777777" w:rsidTr="00871ECD">
        <w:trPr>
          <w:trHeight w:val="739"/>
        </w:trPr>
        <w:tc>
          <w:tcPr>
            <w:tcW w:w="10880" w:type="dxa"/>
            <w:gridSpan w:val="2"/>
          </w:tcPr>
          <w:p w14:paraId="2EFEBDA1" w14:textId="14E9DBC1" w:rsidR="001D1CCF" w:rsidRPr="00DD1425" w:rsidRDefault="001D1CCF" w:rsidP="00C12695">
            <w:pPr>
              <w:tabs>
                <w:tab w:val="left" w:pos="602"/>
                <w:tab w:val="left" w:pos="884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DD1425">
              <w:rPr>
                <w:rFonts w:ascii="Arial" w:hAnsi="Arial" w:cs="Arial"/>
                <w:sz w:val="20"/>
                <w:szCs w:val="20"/>
                <w:lang w:val="kk-KZ"/>
              </w:rPr>
              <w:t xml:space="preserve">2.5. </w:t>
            </w:r>
            <w:r w:rsidR="00013DA1" w:rsidRPr="00DD1425">
              <w:rPr>
                <w:rFonts w:ascii="Arial" w:hAnsi="Arial" w:cs="Arial"/>
                <w:sz w:val="20"/>
                <w:szCs w:val="20"/>
              </w:rPr>
              <w:t>Подписание Заявления на присоединение Партнером по форме установленной Банком является действием, подтверждающим присоединение к ДБО Партнеров (Акцептом). Стоимость услуг по ДБО Партнеров доводится до сведения в Личном кабинете и/или на Сайте. На момент подписания Заявления и/или заключения ДБО Партнёров по умолчанию устанавливается Тарифный план с минимальным пакетом услуг согласно Тарифным планам. Иной Тарифный план указывается в Заявлении. Приложениями к ДБО Партнеров могут быть предусмотрены, в том числе иные действия, подтверждающие присоединение к ДБО Партнеров.</w:t>
            </w:r>
          </w:p>
        </w:tc>
      </w:tr>
      <w:tr w:rsidR="001D1CCF" w:rsidRPr="00DD1425" w14:paraId="23776511" w14:textId="77777777" w:rsidTr="00DA71BD">
        <w:trPr>
          <w:trHeight w:val="976"/>
        </w:trPr>
        <w:tc>
          <w:tcPr>
            <w:tcW w:w="10880" w:type="dxa"/>
            <w:gridSpan w:val="2"/>
          </w:tcPr>
          <w:p w14:paraId="49497E19" w14:textId="1FD2E6D1" w:rsidR="001D1CCF" w:rsidRPr="00DD1425" w:rsidRDefault="001D1CCF" w:rsidP="00C12695">
            <w:pPr>
              <w:widowControl w:val="0"/>
              <w:tabs>
                <w:tab w:val="left" w:pos="0"/>
                <w:tab w:val="left" w:pos="459"/>
              </w:tabs>
              <w:ind w:left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2.6. ДБО Партнеров считается заключенным с момента получения Банком подписанного Партнером Заявления на присоединение. Банк вправе дополнительно направить </w:t>
            </w:r>
            <w:r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SMS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сообщение Партнеру на Мобильный номер, указанный в Заявлении на присоединение с целью подтверждения акцепта и/или применить процедуру прохождения двухфакторной аутентификации (при наличии технической возможности). Начало предоставления Услуг по Приложению осуществляется согласно соответствующему Приложению к ДБО Партнеров.</w:t>
            </w:r>
          </w:p>
        </w:tc>
      </w:tr>
      <w:tr w:rsidR="00295CDB" w:rsidRPr="00DD1425" w14:paraId="02D99994" w14:textId="77777777" w:rsidTr="002510CC">
        <w:trPr>
          <w:trHeight w:val="80"/>
        </w:trPr>
        <w:tc>
          <w:tcPr>
            <w:tcW w:w="10880" w:type="dxa"/>
            <w:gridSpan w:val="2"/>
          </w:tcPr>
          <w:p w14:paraId="6D8AD9FC" w14:textId="7E87ACB3" w:rsidR="00C03658" w:rsidRPr="00DD1425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507"/>
                <w:tab w:val="left" w:pos="549"/>
                <w:tab w:val="left" w:pos="1026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2.7.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Дата и номер Заявления на присоединение одновременно является датой и номером ДБО Партнеров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14:paraId="07C45840" w14:textId="77777777" w:rsidTr="00B25A7B">
        <w:trPr>
          <w:trHeight w:val="729"/>
        </w:trPr>
        <w:tc>
          <w:tcPr>
            <w:tcW w:w="10880" w:type="dxa"/>
            <w:gridSpan w:val="2"/>
          </w:tcPr>
          <w:p w14:paraId="18059D18" w14:textId="209490F2" w:rsidR="00C03658" w:rsidRPr="00DD1425" w:rsidRDefault="00F376A0" w:rsidP="00C12695">
            <w:pPr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2.8.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Выписка по Счету предоставляется Партнеру посредством Kaspi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Business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в электронном виде. Выписка на бумажном носителе предоставляется Партнеру по письменному запросу. Выписка на бумажном носителе направляется почтовой связью на адрес, указанный в Заявлении на присоединение, либо путем ее передачи лично представителю Партнера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14:paraId="4E5F7A28" w14:textId="77777777" w:rsidTr="00871ECD">
        <w:trPr>
          <w:trHeight w:val="227"/>
        </w:trPr>
        <w:tc>
          <w:tcPr>
            <w:tcW w:w="10880" w:type="dxa"/>
            <w:gridSpan w:val="2"/>
          </w:tcPr>
          <w:p w14:paraId="53891E62" w14:textId="50A2D394" w:rsidR="00C03658" w:rsidRPr="00DD1425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507"/>
                <w:tab w:val="left" w:pos="549"/>
                <w:tab w:val="left" w:pos="1026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2.9.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Выписка предоставляется по форме, установленной Банком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14:paraId="0926935E" w14:textId="77777777" w:rsidTr="00B25A7B">
        <w:trPr>
          <w:trHeight w:val="136"/>
        </w:trPr>
        <w:tc>
          <w:tcPr>
            <w:tcW w:w="10880" w:type="dxa"/>
            <w:gridSpan w:val="2"/>
          </w:tcPr>
          <w:p w14:paraId="49F9A472" w14:textId="56D9DA95" w:rsidR="00C03658" w:rsidRPr="00DD1425" w:rsidRDefault="00F376A0" w:rsidP="00C12695">
            <w:pPr>
              <w:widowControl w:val="0"/>
              <w:tabs>
                <w:tab w:val="left" w:pos="0"/>
                <w:tab w:val="left" w:pos="1026"/>
                <w:tab w:val="left" w:pos="1168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2.10.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Смена Тарифного плана осуществляется одним из следующих способов (при наличии технической возможности в Банке):</w:t>
            </w:r>
          </w:p>
        </w:tc>
      </w:tr>
      <w:tr w:rsidR="00295CDB" w:rsidRPr="00DD1425" w14:paraId="6EA47F0D" w14:textId="77777777" w:rsidTr="00871ECD">
        <w:trPr>
          <w:trHeight w:val="195"/>
        </w:trPr>
        <w:tc>
          <w:tcPr>
            <w:tcW w:w="10880" w:type="dxa"/>
            <w:gridSpan w:val="2"/>
          </w:tcPr>
          <w:p w14:paraId="3E7D7955" w14:textId="5EA716D5" w:rsidR="00C03658" w:rsidRPr="00DD1425" w:rsidRDefault="0001798D" w:rsidP="00C12695">
            <w:pPr>
              <w:pStyle w:val="a5"/>
              <w:numPr>
                <w:ilvl w:val="0"/>
                <w:numId w:val="25"/>
              </w:numPr>
              <w:tabs>
                <w:tab w:val="left" w:pos="0"/>
                <w:tab w:val="left" w:pos="142"/>
                <w:tab w:val="left" w:pos="175"/>
                <w:tab w:val="left" w:pos="456"/>
                <w:tab w:val="left" w:pos="739"/>
                <w:tab w:val="left" w:pos="881"/>
                <w:tab w:val="left" w:pos="1026"/>
              </w:tabs>
              <w:ind w:left="45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Совершения действий в Личном кабинете</w:t>
            </w:r>
            <w:r w:rsidR="00F376A0"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14:paraId="2A664D6C" w14:textId="77777777" w:rsidTr="00B25A7B">
        <w:trPr>
          <w:trHeight w:val="80"/>
        </w:trPr>
        <w:tc>
          <w:tcPr>
            <w:tcW w:w="10880" w:type="dxa"/>
            <w:gridSpan w:val="2"/>
          </w:tcPr>
          <w:p w14:paraId="1478D2D1" w14:textId="072B9E6D" w:rsidR="00C03658" w:rsidRPr="00DD1425" w:rsidRDefault="0001798D" w:rsidP="00C12695">
            <w:pPr>
              <w:pStyle w:val="a5"/>
              <w:numPr>
                <w:ilvl w:val="0"/>
                <w:numId w:val="25"/>
              </w:numPr>
              <w:tabs>
                <w:tab w:val="left" w:pos="142"/>
                <w:tab w:val="left" w:pos="456"/>
                <w:tab w:val="left" w:pos="739"/>
                <w:tab w:val="left" w:pos="881"/>
              </w:tabs>
              <w:ind w:left="456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Обращения Партнера в отделение Банка, в том числе подписания документов, подтверждающих согласие на изменение Тарифного плана</w:t>
            </w:r>
            <w:r w:rsidR="00F376A0"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14:paraId="77E2FCB8" w14:textId="77777777" w:rsidTr="00B25A7B">
        <w:trPr>
          <w:trHeight w:val="80"/>
        </w:trPr>
        <w:tc>
          <w:tcPr>
            <w:tcW w:w="10880" w:type="dxa"/>
            <w:gridSpan w:val="2"/>
          </w:tcPr>
          <w:p w14:paraId="50842096" w14:textId="421911B3" w:rsidR="00C03658" w:rsidRPr="00DD1425" w:rsidRDefault="0001798D" w:rsidP="00C12695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456"/>
                <w:tab w:val="left" w:pos="739"/>
                <w:tab w:val="left" w:pos="881"/>
                <w:tab w:val="left" w:pos="1026"/>
              </w:tabs>
              <w:ind w:left="456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Отправка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электронного письма с электронного адреса, указанного в Заявлении на присоединение, на адрес </w:t>
            </w:r>
            <w:hyperlink r:id="rId9" w:history="1">
              <w:r w:rsidRPr="00DD1425">
                <w:rPr>
                  <w:rStyle w:val="a4"/>
                  <w:rFonts w:ascii="Arial" w:hAnsi="Arial" w:cs="Arial"/>
                  <w:sz w:val="20"/>
                  <w:szCs w:val="20"/>
                </w:rPr>
                <w:t>business@kaspi.kz</w:t>
              </w:r>
            </w:hyperlink>
            <w:r w:rsidR="00F376A0" w:rsidRPr="00DD1425">
              <w:rPr>
                <w:rStyle w:val="a4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27CEEA64" w14:textId="77777777" w:rsidTr="00871ECD">
        <w:trPr>
          <w:trHeight w:val="209"/>
        </w:trPr>
        <w:tc>
          <w:tcPr>
            <w:tcW w:w="10880" w:type="dxa"/>
            <w:gridSpan w:val="2"/>
          </w:tcPr>
          <w:p w14:paraId="4094CED0" w14:textId="784621FF" w:rsidR="00C03658" w:rsidRPr="00DD1425" w:rsidRDefault="0001798D" w:rsidP="00C12695">
            <w:pPr>
              <w:pStyle w:val="a5"/>
              <w:numPr>
                <w:ilvl w:val="0"/>
                <w:numId w:val="25"/>
              </w:numPr>
              <w:tabs>
                <w:tab w:val="left" w:pos="142"/>
                <w:tab w:val="left" w:pos="456"/>
                <w:tab w:val="left" w:pos="739"/>
                <w:tab w:val="left" w:pos="88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Осуществление звонка </w:t>
            </w:r>
            <w:r w:rsidRPr="00DD1425">
              <w:rPr>
                <w:rFonts w:ascii="Arial" w:hAnsi="Arial" w:cs="Arial"/>
                <w:sz w:val="20"/>
                <w:szCs w:val="20"/>
              </w:rPr>
              <w:t>Пользователем, имеющим «Полный доступ», на номер 2323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 c мобильного </w:t>
            </w:r>
            <w:r w:rsidR="00592A17" w:rsidRPr="00DD1425">
              <w:rPr>
                <w:rFonts w:ascii="Arial" w:hAnsi="Arial" w:cs="Arial"/>
                <w:sz w:val="20"/>
                <w:szCs w:val="20"/>
              </w:rPr>
              <w:t>(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>по Казахстану бесплатно)</w:t>
            </w:r>
            <w:r w:rsidR="00F376A0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14:paraId="067AADCA" w14:textId="77777777" w:rsidTr="00B25A7B">
        <w:trPr>
          <w:trHeight w:val="80"/>
        </w:trPr>
        <w:tc>
          <w:tcPr>
            <w:tcW w:w="10880" w:type="dxa"/>
            <w:gridSpan w:val="2"/>
          </w:tcPr>
          <w:p w14:paraId="79384FF5" w14:textId="5914E9B3" w:rsidR="001D1CCF" w:rsidRPr="00DD1425" w:rsidRDefault="00F376A0" w:rsidP="00C12695">
            <w:pPr>
              <w:pStyle w:val="a5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2.11. 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>В случае осуществления действий по изменению Тарифного плана по инициативе Партнера, Тарифный план применяется с первого дня месяца, следующего за месяцем, в котором были осуществлены действ</w:t>
            </w:r>
            <w:r w:rsidR="009122D8" w:rsidRPr="00DD1425">
              <w:rPr>
                <w:rFonts w:ascii="Arial" w:hAnsi="Arial" w:cs="Arial"/>
                <w:sz w:val="20"/>
                <w:szCs w:val="20"/>
              </w:rPr>
              <w:t>ия по изменению Тарифного плана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B71A5A" w14:textId="101FD254" w:rsidR="007F5913" w:rsidRPr="00DD1425" w:rsidRDefault="002F7CCB" w:rsidP="00B62D7F">
            <w:pPr>
              <w:pStyle w:val="a5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2.12. Все запросы, заявления, в том числе связанные с валютными операциями, </w:t>
            </w:r>
            <w:r w:rsidR="008A697E" w:rsidRPr="00DD1425">
              <w:rPr>
                <w:rFonts w:ascii="Arial" w:hAnsi="Arial" w:cs="Arial"/>
                <w:bCs/>
                <w:sz w:val="20"/>
                <w:szCs w:val="20"/>
              </w:rPr>
              <w:t>обращения,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связанные с исполнением ДБО, предоставляются от Партнера в электронном виде, с электронного адреса, указанного в 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Заявлении на присоединение, на адрес </w:t>
            </w:r>
            <w:hyperlink r:id="rId10" w:history="1">
              <w:r w:rsidRPr="00DD1425">
                <w:rPr>
                  <w:rFonts w:ascii="Arial" w:hAnsi="Arial" w:cs="Arial"/>
                  <w:bCs/>
                  <w:sz w:val="20"/>
                  <w:szCs w:val="20"/>
                </w:rPr>
                <w:t>business@kaspi.kz</w:t>
              </w:r>
            </w:hyperlink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, Банк вправе потребовать предоставление документов на бумажном носителе. </w:t>
            </w:r>
          </w:p>
        </w:tc>
      </w:tr>
      <w:tr w:rsidR="00295CDB" w:rsidRPr="00DD1425" w14:paraId="220FD9DB" w14:textId="77777777" w:rsidTr="00DA71BD">
        <w:trPr>
          <w:trHeight w:val="1633"/>
        </w:trPr>
        <w:tc>
          <w:tcPr>
            <w:tcW w:w="10880" w:type="dxa"/>
            <w:gridSpan w:val="2"/>
          </w:tcPr>
          <w:p w14:paraId="73E7E382" w14:textId="4F896D3F" w:rsidR="00F376A0" w:rsidRPr="00DD1425" w:rsidRDefault="00F376A0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2.1</w:t>
            </w:r>
            <w:r w:rsidR="00E95D9D" w:rsidRPr="00DD142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F062A" w:rsidRPr="00DD1425">
              <w:rPr>
                <w:rFonts w:ascii="Arial" w:hAnsi="Arial" w:cs="Arial"/>
                <w:bCs/>
                <w:sz w:val="20"/>
                <w:szCs w:val="20"/>
              </w:rPr>
              <w:t>Новые дополнительные платные банковские услуги, в том числе электронные банковские услуги, которые не были предусмотрены ДБО Партнеров, Тарифами Банка в момент присоединения к ДБО Партнеров оказываются Банком Партнеру при совершении Партнером действий, подтверждающих согласие Партнера на получение таких услуг (конклюдентные действия). С момента совершения действия по получению дополнительных платных услуг, отношения между Партнером и Банком регулируются положениями ДБО Партнеров, в том числе оплачиваются Партнером в соответствии с Тарифами, установленными для данного вида услуг.</w:t>
            </w:r>
          </w:p>
        </w:tc>
      </w:tr>
      <w:tr w:rsidR="00295CDB" w:rsidRPr="00DD1425" w14:paraId="16324EFA" w14:textId="77777777" w:rsidTr="00B25A7B">
        <w:trPr>
          <w:trHeight w:val="317"/>
        </w:trPr>
        <w:tc>
          <w:tcPr>
            <w:tcW w:w="10880" w:type="dxa"/>
            <w:gridSpan w:val="2"/>
          </w:tcPr>
          <w:p w14:paraId="55256220" w14:textId="6630DEB4" w:rsidR="00F376A0" w:rsidRPr="00DD1425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1026"/>
                <w:tab w:val="left" w:pos="1277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2.1</w:t>
            </w:r>
            <w:r w:rsidR="00E95D9D" w:rsidRPr="00DD1425">
              <w:rPr>
                <w:rFonts w:ascii="Arial" w:hAnsi="Arial" w:cs="Arial"/>
                <w:sz w:val="20"/>
                <w:szCs w:val="20"/>
              </w:rPr>
              <w:t>4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bCs/>
                <w:sz w:val="20"/>
                <w:szCs w:val="20"/>
              </w:rPr>
              <w:t>Банк осуществляет выявление бенефициарных собственников своих Партнеров и фиксирование сведений, необходимых для их идентификации. Данные мероприятия проводятся Банком путем предоставления Партнерам для заполнения специальных анкет, и путем запроса у Партнеров документов, подтверждающих сведения, указанные в анкетах в соответствии с ПОД/ФТ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14:paraId="33DBDBAD" w14:textId="77777777" w:rsidTr="00871ECD">
        <w:trPr>
          <w:trHeight w:val="330"/>
        </w:trPr>
        <w:tc>
          <w:tcPr>
            <w:tcW w:w="10880" w:type="dxa"/>
            <w:gridSpan w:val="2"/>
          </w:tcPr>
          <w:p w14:paraId="42E63C2E" w14:textId="77777777" w:rsidR="002723DD" w:rsidRDefault="00F376A0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2.1</w:t>
            </w:r>
            <w:r w:rsidR="00E95D9D" w:rsidRPr="00DD1425">
              <w:rPr>
                <w:rFonts w:ascii="Arial" w:hAnsi="Arial" w:cs="Arial"/>
                <w:sz w:val="20"/>
                <w:szCs w:val="20"/>
              </w:rPr>
              <w:t>5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bCs/>
                <w:sz w:val="20"/>
                <w:szCs w:val="20"/>
              </w:rPr>
              <w:t>Все Операции с иностранной валютой производятся в порядке, установленном действующим законодательством Республики Казахстан, внутренними нормативными документами Банка и ДБО Партнеров</w:t>
            </w:r>
            <w:r w:rsidR="002723D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AEFCEE1" w14:textId="2428EA0C" w:rsidR="00F376A0" w:rsidRDefault="002723DD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2.16. 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>Все сообщения и любая иная информация, получаемая Банком с адреса электронной почты Партнера, указанного в Заявлении на присоединение, а в случае его изменения – с адреса,  сообщенного Банку в порядке, предусмотренном ДБО Партнеров, считается направленной Партнером и санкционированной его органами (при необходимости)</w:t>
            </w:r>
            <w:r w:rsidR="00F376A0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30C8F22" w14:textId="444DE24F" w:rsidR="002510CC" w:rsidRPr="002510CC" w:rsidRDefault="002510CC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295CDB" w:rsidRPr="00DD1425" w14:paraId="2551253C" w14:textId="77777777" w:rsidTr="00871ECD">
        <w:trPr>
          <w:trHeight w:val="573"/>
        </w:trPr>
        <w:tc>
          <w:tcPr>
            <w:tcW w:w="10880" w:type="dxa"/>
            <w:gridSpan w:val="2"/>
            <w:vAlign w:val="center"/>
          </w:tcPr>
          <w:p w14:paraId="14874AE6" w14:textId="0997DDB6" w:rsidR="00F376A0" w:rsidRPr="00DD1425" w:rsidRDefault="00F376A0" w:rsidP="00C12695">
            <w:pPr>
              <w:pStyle w:val="a5"/>
              <w:widowControl w:val="0"/>
              <w:tabs>
                <w:tab w:val="left" w:pos="317"/>
                <w:tab w:val="left" w:pos="459"/>
                <w:tab w:val="left" w:pos="567"/>
              </w:tabs>
              <w:ind w:left="17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D1425">
              <w:rPr>
                <w:rFonts w:ascii="Arial" w:hAnsi="Arial" w:cs="Arial"/>
                <w:color w:val="000000"/>
                <w:sz w:val="28"/>
                <w:szCs w:val="28"/>
              </w:rPr>
              <w:t>3. Права и обязанности Сторон</w:t>
            </w:r>
          </w:p>
        </w:tc>
      </w:tr>
      <w:tr w:rsidR="00295CDB" w:rsidRPr="00DD1425" w14:paraId="620893CD" w14:textId="77777777" w:rsidTr="00DA71BD">
        <w:trPr>
          <w:trHeight w:val="223"/>
        </w:trPr>
        <w:tc>
          <w:tcPr>
            <w:tcW w:w="10880" w:type="dxa"/>
            <w:gridSpan w:val="2"/>
            <w:vAlign w:val="bottom"/>
          </w:tcPr>
          <w:p w14:paraId="062C06AB" w14:textId="2AD17C61" w:rsidR="00C03658" w:rsidRPr="00DD1425" w:rsidRDefault="00F376A0" w:rsidP="00C12695">
            <w:pPr>
              <w:pStyle w:val="a5"/>
              <w:tabs>
                <w:tab w:val="left" w:pos="142"/>
                <w:tab w:val="left" w:pos="567"/>
              </w:tabs>
              <w:ind w:left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4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3.1. </w:t>
            </w:r>
            <w:r w:rsidRPr="00DD1425">
              <w:rPr>
                <w:rFonts w:ascii="Arial" w:hAnsi="Arial" w:cs="Arial"/>
                <w:b/>
                <w:sz w:val="20"/>
                <w:szCs w:val="20"/>
              </w:rPr>
              <w:t xml:space="preserve">Банк вправе: </w:t>
            </w:r>
          </w:p>
        </w:tc>
      </w:tr>
      <w:tr w:rsidR="00295CDB" w:rsidRPr="00DD1425" w14:paraId="34DB0BE3" w14:textId="77777777" w:rsidTr="00B25A7B">
        <w:trPr>
          <w:trHeight w:val="1455"/>
        </w:trPr>
        <w:tc>
          <w:tcPr>
            <w:tcW w:w="10880" w:type="dxa"/>
            <w:gridSpan w:val="2"/>
          </w:tcPr>
          <w:p w14:paraId="7D655E2E" w14:textId="3A172871" w:rsidR="00C03658" w:rsidRPr="00DD1425" w:rsidRDefault="00F376A0" w:rsidP="00C1269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3.1.1.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>Запрашивать у Партнера любые документы и информацию, необходимые для проведения Операций по Счету, осуществления Банком валютного контроля, соблюдения Банком требований законодательства Республики Казахстан, в т.ч. о противодействии легализации (отмыванию) доходов, полученных преступным путем, и финансированию терроризма, внутренних нормативных документов, а также для осуществления сбора, обработки и передачи данных/ персональных данных Партнера в Налоговую Службу США (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Internal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Revenue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Service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) в соответствии с требованиями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Foreign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Account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Tax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Compliance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(далее –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FATCA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>), законодательства и внутренних нормативных документов Банка, в том числе, посредством уполномоченных государственных органов Республики Казахстан</w:t>
            </w:r>
            <w:r w:rsidRPr="00DD1425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</w:tr>
      <w:tr w:rsidR="00295CDB" w:rsidRPr="00DD1425" w14:paraId="4403104E" w14:textId="77777777" w:rsidTr="00DA71BD">
        <w:trPr>
          <w:trHeight w:val="487"/>
        </w:trPr>
        <w:tc>
          <w:tcPr>
            <w:tcW w:w="10880" w:type="dxa"/>
            <w:gridSpan w:val="2"/>
          </w:tcPr>
          <w:p w14:paraId="0CA57EED" w14:textId="1DD97923" w:rsidR="00F376A0" w:rsidRPr="00DD1425" w:rsidRDefault="00F376A0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3.1.2. </w:t>
            </w:r>
            <w:r w:rsidR="00B27720" w:rsidRPr="00DD1425">
              <w:rPr>
                <w:rFonts w:ascii="Arial" w:hAnsi="Arial" w:cs="Arial"/>
                <w:sz w:val="20"/>
                <w:szCs w:val="20"/>
              </w:rPr>
              <w:t>Передавать свои права и обязанности по ДБО Партнеров и Приложениям другому лицу без письменного согласия Партнера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31D394F5" w14:textId="77777777" w:rsidTr="00DA71BD">
        <w:trPr>
          <w:trHeight w:val="711"/>
        </w:trPr>
        <w:tc>
          <w:tcPr>
            <w:tcW w:w="10880" w:type="dxa"/>
            <w:gridSpan w:val="2"/>
          </w:tcPr>
          <w:p w14:paraId="449561BE" w14:textId="64FF8FE9" w:rsidR="00F376A0" w:rsidRPr="00DD1425" w:rsidRDefault="00F376A0" w:rsidP="00C12695">
            <w:pPr>
              <w:widowControl w:val="0"/>
              <w:tabs>
                <w:tab w:val="left" w:pos="0"/>
                <w:tab w:val="left" w:pos="739"/>
                <w:tab w:val="left" w:pos="921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3.1.3. </w:t>
            </w:r>
            <w:r w:rsidR="00B27720" w:rsidRPr="00DD1425">
              <w:rPr>
                <w:rFonts w:ascii="Arial" w:hAnsi="Arial" w:cs="Arial"/>
                <w:sz w:val="20"/>
                <w:szCs w:val="20"/>
              </w:rPr>
              <w:t xml:space="preserve">Изымать (списывать) деньги в </w:t>
            </w:r>
            <w:proofErr w:type="spellStart"/>
            <w:r w:rsidR="00B27720" w:rsidRPr="00DD1425">
              <w:rPr>
                <w:rFonts w:ascii="Arial" w:hAnsi="Arial" w:cs="Arial"/>
                <w:sz w:val="20"/>
                <w:szCs w:val="20"/>
              </w:rPr>
              <w:t>безакцептном</w:t>
            </w:r>
            <w:proofErr w:type="spellEnd"/>
            <w:r w:rsidR="00B27720" w:rsidRPr="00DD1425">
              <w:rPr>
                <w:rFonts w:ascii="Arial" w:hAnsi="Arial" w:cs="Arial"/>
                <w:sz w:val="20"/>
                <w:szCs w:val="20"/>
              </w:rPr>
              <w:t xml:space="preserve"> порядке/путем прямого дебетования, подлежащие перечислению Партнером в Банк, в том числе деньги, подлежащие перечислению в Банк по заявлениям Партнеров Банка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17BDCAF6" w14:textId="77777777" w:rsidTr="00DA71BD">
        <w:trPr>
          <w:trHeight w:val="697"/>
        </w:trPr>
        <w:tc>
          <w:tcPr>
            <w:tcW w:w="10880" w:type="dxa"/>
            <w:gridSpan w:val="2"/>
          </w:tcPr>
          <w:p w14:paraId="1D065A2A" w14:textId="210F3E02" w:rsidR="00F376A0" w:rsidRPr="00DD1425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739"/>
                <w:tab w:val="left" w:pos="1023"/>
                <w:tab w:val="left" w:pos="1277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3.1.4</w:t>
            </w:r>
            <w:r w:rsidR="00901750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901750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>случае нарушения требований ДБО Партнеров и Приложений, заключенных и оформленных в рамках ДБО Партнеров, в том числе задолженности, приостановить действие ДБО Партнеров на любой срок и/или расторгнуть ДБО Партнеров и/или договоры, заключенные в рамках ДБО Партнеров;</w:t>
            </w:r>
          </w:p>
        </w:tc>
      </w:tr>
      <w:tr w:rsidR="00295CDB" w:rsidRPr="00DD1425" w14:paraId="51C7E237" w14:textId="77777777" w:rsidTr="00DA71BD">
        <w:trPr>
          <w:trHeight w:val="488"/>
        </w:trPr>
        <w:tc>
          <w:tcPr>
            <w:tcW w:w="10880" w:type="dxa"/>
            <w:gridSpan w:val="2"/>
          </w:tcPr>
          <w:p w14:paraId="672000B4" w14:textId="23FF71FB" w:rsidR="00F376A0" w:rsidRPr="00DD1425" w:rsidRDefault="00F376A0" w:rsidP="00C1269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3.1.5. </w:t>
            </w:r>
            <w:r w:rsidR="002F7B96" w:rsidRPr="00DD1425">
              <w:rPr>
                <w:rFonts w:ascii="Arial" w:hAnsi="Arial" w:cs="Arial"/>
                <w:color w:val="auto"/>
                <w:sz w:val="20"/>
                <w:szCs w:val="20"/>
              </w:rPr>
              <w:t>Блокировать Операции при наличии у Банка подозрений на мошеннические операции без уведомления Партнера до выяснения обстоятельств</w:t>
            </w:r>
            <w:r w:rsidR="00FF16C1" w:rsidRPr="00DD1425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</w:tr>
      <w:tr w:rsidR="00295CDB" w:rsidRPr="00DD1425" w14:paraId="79B3AF54" w14:textId="77777777" w:rsidTr="00871ECD">
        <w:trPr>
          <w:trHeight w:val="488"/>
        </w:trPr>
        <w:tc>
          <w:tcPr>
            <w:tcW w:w="10880" w:type="dxa"/>
            <w:gridSpan w:val="2"/>
          </w:tcPr>
          <w:p w14:paraId="7C3E363D" w14:textId="500D9944" w:rsidR="00F376A0" w:rsidRPr="00DD1425" w:rsidRDefault="00F376A0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3.1.6.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Производить списание со Счета Партнера без его согласия сумм несанкционированных платежей с последующим уведомлением Партнера о таком списании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04FFA09D" w14:textId="77777777" w:rsidTr="00871ECD">
        <w:trPr>
          <w:trHeight w:val="501"/>
        </w:trPr>
        <w:tc>
          <w:tcPr>
            <w:tcW w:w="10880" w:type="dxa"/>
            <w:gridSpan w:val="2"/>
          </w:tcPr>
          <w:p w14:paraId="7D5A1C61" w14:textId="69A48297" w:rsidR="00F376A0" w:rsidRPr="00DD1425" w:rsidRDefault="00F376A0" w:rsidP="00C1269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3.1.7. </w:t>
            </w:r>
            <w:r w:rsidR="00342387" w:rsidRPr="00DD1425">
              <w:rPr>
                <w:rFonts w:ascii="Arial" w:hAnsi="Arial" w:cs="Arial"/>
                <w:color w:val="auto"/>
                <w:sz w:val="20"/>
                <w:szCs w:val="20"/>
              </w:rPr>
              <w:t>Запрашивать у Партнера иные документы и сведения, в соответствии с требованиями законодательства Республики Казахстан и внутренних нормативных документов Банка</w:t>
            </w:r>
            <w:r w:rsidRPr="00DD1425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</w:tr>
      <w:tr w:rsidR="00295CDB" w:rsidRPr="00DD1425" w14:paraId="5F6951DC" w14:textId="77777777" w:rsidTr="00DA71BD">
        <w:trPr>
          <w:trHeight w:val="711"/>
        </w:trPr>
        <w:tc>
          <w:tcPr>
            <w:tcW w:w="10880" w:type="dxa"/>
            <w:gridSpan w:val="2"/>
          </w:tcPr>
          <w:p w14:paraId="5DC165C0" w14:textId="1603120B" w:rsidR="00F376A0" w:rsidRPr="00DD1425" w:rsidRDefault="008B11F0" w:rsidP="00C12695">
            <w:pPr>
              <w:tabs>
                <w:tab w:val="left" w:pos="0"/>
                <w:tab w:val="left" w:pos="142"/>
                <w:tab w:val="left" w:pos="175"/>
                <w:tab w:val="left" w:pos="739"/>
                <w:tab w:val="left" w:pos="1023"/>
                <w:tab w:val="left" w:pos="1277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3.1.8. </w:t>
            </w:r>
            <w:r w:rsidR="00342387" w:rsidRPr="00DD1425">
              <w:rPr>
                <w:rFonts w:ascii="Arial" w:hAnsi="Arial" w:cs="Arial"/>
                <w:bCs/>
                <w:sz w:val="20"/>
                <w:szCs w:val="20"/>
              </w:rPr>
              <w:t>При наличии технической возможности оказывать Партнеру электронные банковские услуги по дистанционному открытию банковских счетов в соответствии с требованиями законодательства, на основаниях и в порядке, определенных в соответствующем Приложении к ДБО Партнеров</w:t>
            </w:r>
            <w:r w:rsidR="00FF16C1"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14:paraId="665A5692" w14:textId="77777777" w:rsidTr="00871ECD">
        <w:trPr>
          <w:trHeight w:val="487"/>
        </w:trPr>
        <w:tc>
          <w:tcPr>
            <w:tcW w:w="10880" w:type="dxa"/>
            <w:gridSpan w:val="2"/>
          </w:tcPr>
          <w:p w14:paraId="66766054" w14:textId="6CEB89F7" w:rsidR="00F376A0" w:rsidRPr="00DD1425" w:rsidRDefault="008B11F0" w:rsidP="00C12695">
            <w:pPr>
              <w:widowControl w:val="0"/>
              <w:tabs>
                <w:tab w:val="left" w:pos="0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3.1.9. </w:t>
            </w:r>
            <w:r w:rsidR="00342387" w:rsidRPr="00DD1425">
              <w:rPr>
                <w:rFonts w:ascii="Arial" w:hAnsi="Arial" w:cs="Arial"/>
                <w:bCs/>
                <w:sz w:val="20"/>
                <w:szCs w:val="20"/>
              </w:rPr>
              <w:t>Требовать уплаты неустойки, определенной законодательством (законной неустойки) за ненадлежащее исполнение условий ДБО Партнеров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14:paraId="3BDFDFCE" w14:textId="77777777" w:rsidTr="002510CC">
        <w:trPr>
          <w:trHeight w:val="88"/>
        </w:trPr>
        <w:tc>
          <w:tcPr>
            <w:tcW w:w="10880" w:type="dxa"/>
            <w:gridSpan w:val="2"/>
          </w:tcPr>
          <w:p w14:paraId="09BD3D28" w14:textId="58C419EF" w:rsidR="00C03658" w:rsidRPr="00DD1425" w:rsidRDefault="008B11F0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3.1.10. </w:t>
            </w:r>
            <w:r w:rsidR="00F9782F" w:rsidRPr="00DD1425">
              <w:rPr>
                <w:rFonts w:ascii="Arial" w:hAnsi="Arial" w:cs="Arial"/>
                <w:sz w:val="20"/>
                <w:szCs w:val="20"/>
              </w:rPr>
              <w:t>И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зменять условия ДБО Партнеров в случаях, предусмотренных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4FE171DF" w14:textId="77777777" w:rsidTr="003A23FC">
        <w:trPr>
          <w:trHeight w:val="948"/>
        </w:trPr>
        <w:tc>
          <w:tcPr>
            <w:tcW w:w="10880" w:type="dxa"/>
            <w:gridSpan w:val="2"/>
          </w:tcPr>
          <w:p w14:paraId="0E5E39F0" w14:textId="7081B70C" w:rsidR="00C03658" w:rsidRPr="00DD1425" w:rsidRDefault="0093599A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3.1.11.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Приостановить и (или) отказать Партнеру в проведении Операции</w:t>
            </w:r>
            <w:r w:rsidR="0096607E" w:rsidRPr="00DD1425">
              <w:rPr>
                <w:rFonts w:ascii="Arial" w:hAnsi="Arial" w:cs="Arial"/>
                <w:sz w:val="20"/>
                <w:szCs w:val="20"/>
              </w:rPr>
              <w:t>,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 xml:space="preserve"> расторгнуть с Партнером деловые отношения и прекратить действие ДБО Партнеров в случаях, предусмотренных законодательством Республики Казахстан, в том числе законодательством Республики Казахстан о противодействии легализации (отмыванию) доходов, полученных преступным путем, и финансированию </w:t>
            </w:r>
            <w:r w:rsidR="00ED55E0" w:rsidRPr="00DD1425">
              <w:rPr>
                <w:rFonts w:ascii="Arial" w:hAnsi="Arial" w:cs="Arial"/>
                <w:sz w:val="20"/>
                <w:szCs w:val="20"/>
              </w:rPr>
              <w:t>терроризма, Договором</w:t>
            </w:r>
            <w:r w:rsidR="0096607E" w:rsidRPr="00DD1425">
              <w:rPr>
                <w:rFonts w:ascii="Arial" w:hAnsi="Arial" w:cs="Arial"/>
                <w:sz w:val="20"/>
                <w:szCs w:val="20"/>
              </w:rPr>
              <w:t xml:space="preserve">, в </w:t>
            </w:r>
            <w:proofErr w:type="spellStart"/>
            <w:r w:rsidR="0096607E" w:rsidRPr="00DD14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="0096607E" w:rsidRPr="00DD1425">
              <w:rPr>
                <w:rFonts w:ascii="Arial" w:hAnsi="Arial" w:cs="Arial"/>
                <w:sz w:val="20"/>
                <w:szCs w:val="20"/>
              </w:rPr>
              <w:t xml:space="preserve"> при не</w:t>
            </w:r>
            <w:r w:rsidR="00ED55E0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07E" w:rsidRPr="00DD1425">
              <w:rPr>
                <w:rFonts w:ascii="Arial" w:hAnsi="Arial" w:cs="Arial"/>
                <w:sz w:val="20"/>
                <w:szCs w:val="20"/>
              </w:rPr>
              <w:t>предоставлении Банку запрошенных документов и/или сведений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0C92A8F1" w14:textId="77777777" w:rsidTr="00C3071C">
        <w:trPr>
          <w:trHeight w:val="283"/>
        </w:trPr>
        <w:tc>
          <w:tcPr>
            <w:tcW w:w="10880" w:type="dxa"/>
            <w:gridSpan w:val="2"/>
          </w:tcPr>
          <w:p w14:paraId="339D8BC0" w14:textId="15F10E05" w:rsidR="008B11F0" w:rsidRPr="00DD1425" w:rsidRDefault="0093599A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3.1.12. </w:t>
            </w:r>
            <w:r w:rsidR="00342387" w:rsidRPr="00DD1425">
              <w:rPr>
                <w:rFonts w:ascii="Arial" w:hAnsi="Arial" w:cs="Arial"/>
                <w:bCs/>
                <w:sz w:val="20"/>
                <w:szCs w:val="20"/>
              </w:rPr>
              <w:t>Осуществлять любые не запрещенные законодательством Республики Казахстан действия и меры по получению, проверке/ перепроверке любого рода данных, предоставленных в Банк для проведения Операций, в целях соблюдения Банком законодательства Республики Казахстан по противодействию легализации (отмыванию) доходов, полученных преступным путем, и финансированию терроризма</w:t>
            </w:r>
            <w:r w:rsidR="002510C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4A11C866" w14:textId="77777777" w:rsidR="004119C2" w:rsidRPr="00DD1425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3.1.13. по своему усмотрению отменить льготы и/или скидки, предоставленные Банком </w:t>
            </w:r>
            <w:r w:rsidRPr="00DD1425">
              <w:rPr>
                <w:rFonts w:ascii="Arial" w:hAnsi="Arial" w:cs="Arial"/>
                <w:sz w:val="20"/>
                <w:szCs w:val="20"/>
              </w:rPr>
              <w:t>при уплате одной или нескольких комиссий, взимаемых по Договору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3C08A9F" w14:textId="45632D4C" w:rsidR="001D1CCF" w:rsidRPr="00DD1425" w:rsidRDefault="004119C2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3.1.14. по своему усмотрению предоставить/отменить Партнеру</w:t>
            </w:r>
            <w:r w:rsidR="006F2BFD" w:rsidRPr="00DD1425">
              <w:rPr>
                <w:rFonts w:ascii="Arial" w:hAnsi="Arial" w:cs="Arial"/>
                <w:bCs/>
                <w:sz w:val="20"/>
                <w:szCs w:val="20"/>
              </w:rPr>
              <w:t>/Пользователю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направление уведомлений о проведенных Операциях/Транзакциях по Счетам путем </w:t>
            </w:r>
            <w:proofErr w:type="spellStart"/>
            <w:r w:rsidRPr="00DD1425">
              <w:rPr>
                <w:rFonts w:ascii="Arial" w:hAnsi="Arial" w:cs="Arial"/>
                <w:bCs/>
                <w:sz w:val="20"/>
                <w:szCs w:val="20"/>
              </w:rPr>
              <w:t>Push</w:t>
            </w:r>
            <w:proofErr w:type="spellEnd"/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- уведомлений и/или СМС сообщений</w:t>
            </w:r>
            <w:r w:rsidR="001D1CCF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14:paraId="3856CF35" w14:textId="77777777" w:rsidTr="002510CC">
        <w:trPr>
          <w:trHeight w:val="80"/>
        </w:trPr>
        <w:tc>
          <w:tcPr>
            <w:tcW w:w="10880" w:type="dxa"/>
            <w:gridSpan w:val="2"/>
            <w:vAlign w:val="center"/>
          </w:tcPr>
          <w:p w14:paraId="7167DB59" w14:textId="2F2CECCB" w:rsidR="008B11F0" w:rsidRPr="00DD1425" w:rsidRDefault="0093599A" w:rsidP="00C12695">
            <w:pPr>
              <w:pStyle w:val="a5"/>
              <w:numPr>
                <w:ilvl w:val="1"/>
                <w:numId w:val="28"/>
              </w:numPr>
              <w:tabs>
                <w:tab w:val="left" w:pos="171"/>
                <w:tab w:val="left" w:pos="567"/>
              </w:tabs>
              <w:ind w:left="171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D1425">
              <w:rPr>
                <w:rFonts w:ascii="Arial" w:hAnsi="Arial" w:cs="Arial"/>
                <w:b/>
                <w:sz w:val="20"/>
                <w:szCs w:val="20"/>
              </w:rPr>
              <w:t>Банк обязуется:</w:t>
            </w:r>
          </w:p>
        </w:tc>
      </w:tr>
      <w:tr w:rsidR="00295CDB" w:rsidRPr="00DD1425" w14:paraId="28EDD34C" w14:textId="77777777" w:rsidTr="00C12695">
        <w:trPr>
          <w:trHeight w:val="146"/>
        </w:trPr>
        <w:tc>
          <w:tcPr>
            <w:tcW w:w="10880" w:type="dxa"/>
            <w:gridSpan w:val="2"/>
            <w:vAlign w:val="center"/>
          </w:tcPr>
          <w:p w14:paraId="5FAA723F" w14:textId="0F5A1B89" w:rsidR="0093599A" w:rsidRPr="00DD1425" w:rsidRDefault="0093599A" w:rsidP="00C12695">
            <w:pPr>
              <w:widowControl w:val="0"/>
              <w:tabs>
                <w:tab w:val="left" w:pos="1022"/>
                <w:tab w:val="left" w:pos="1306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3.2.1.</w:t>
            </w:r>
            <w:r w:rsidR="006B0175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 xml:space="preserve">Предоставлять Партнеру общедоступную информацию и документы, необходимые для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услуг в рамках ДБО Партнеров и Приложений к нему, не содержащие банковскую или иную тайну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2FE3884E" w14:textId="77777777" w:rsidTr="002510CC">
        <w:trPr>
          <w:trHeight w:val="204"/>
        </w:trPr>
        <w:tc>
          <w:tcPr>
            <w:tcW w:w="10880" w:type="dxa"/>
            <w:gridSpan w:val="2"/>
            <w:vAlign w:val="center"/>
          </w:tcPr>
          <w:p w14:paraId="19B69C1D" w14:textId="77777777" w:rsidR="0093599A" w:rsidRDefault="0093599A" w:rsidP="00C12695">
            <w:pPr>
              <w:tabs>
                <w:tab w:val="left" w:pos="1022"/>
                <w:tab w:val="left" w:pos="1306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lastRenderedPageBreak/>
              <w:t xml:space="preserve">3.2.2.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Производить иное банковское обслуживание Партнера, предусмотренное ДБО Партнеров и Приложением, законодательством и применяемыми в банковской практике обычаями делового оборота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CFE07A" w14:textId="54A00397" w:rsidR="002510CC" w:rsidRPr="002510CC" w:rsidRDefault="002510CC" w:rsidP="00C12695">
            <w:pPr>
              <w:tabs>
                <w:tab w:val="left" w:pos="1022"/>
                <w:tab w:val="left" w:pos="1306"/>
              </w:tabs>
              <w:ind w:left="455"/>
              <w:jc w:val="both"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93599A" w:rsidRPr="00DD1425" w14:paraId="17442A03" w14:textId="77777777" w:rsidTr="00871ECD">
        <w:trPr>
          <w:trHeight w:val="97"/>
        </w:trPr>
        <w:tc>
          <w:tcPr>
            <w:tcW w:w="10880" w:type="dxa"/>
            <w:gridSpan w:val="2"/>
            <w:vAlign w:val="center"/>
          </w:tcPr>
          <w:p w14:paraId="12F68B21" w14:textId="210A98D0" w:rsidR="0093599A" w:rsidRPr="00DD1425" w:rsidRDefault="0093599A" w:rsidP="00C12695">
            <w:pPr>
              <w:pStyle w:val="a5"/>
              <w:tabs>
                <w:tab w:val="left" w:pos="142"/>
                <w:tab w:val="left" w:pos="567"/>
              </w:tabs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 w:rsidRPr="00DD1425">
              <w:rPr>
                <w:rFonts w:ascii="Arial" w:hAnsi="Arial" w:cs="Arial"/>
                <w:b/>
                <w:sz w:val="20"/>
                <w:szCs w:val="20"/>
              </w:rPr>
              <w:t>3.3. Партнер вправе:</w:t>
            </w:r>
          </w:p>
        </w:tc>
      </w:tr>
      <w:tr w:rsidR="008B11F0" w:rsidRPr="00DD1425" w14:paraId="16940B1D" w14:textId="77777777" w:rsidTr="003A23FC">
        <w:trPr>
          <w:trHeight w:val="250"/>
        </w:trPr>
        <w:tc>
          <w:tcPr>
            <w:tcW w:w="10880" w:type="dxa"/>
            <w:gridSpan w:val="2"/>
            <w:vAlign w:val="center"/>
          </w:tcPr>
          <w:p w14:paraId="2CBAD542" w14:textId="4266AA1A" w:rsidR="008B11F0" w:rsidRPr="00DD1425" w:rsidRDefault="0093599A" w:rsidP="00C12695">
            <w:pPr>
              <w:widowControl w:val="0"/>
              <w:tabs>
                <w:tab w:val="left" w:pos="0"/>
                <w:tab w:val="left" w:pos="459"/>
                <w:tab w:val="left" w:pos="880"/>
                <w:tab w:val="left" w:pos="1022"/>
                <w:tab w:val="left" w:pos="1164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3.3.1.</w:t>
            </w:r>
            <w:r w:rsidRPr="00DD1425">
              <w:rPr>
                <w:rFonts w:ascii="Arial" w:hAnsi="Arial" w:cs="Arial"/>
                <w:sz w:val="20"/>
                <w:szCs w:val="20"/>
              </w:rPr>
              <w:tab/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Осуществлять права, предусмотренные ДБО Партнеров и Приложениями к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673BB84D" w14:textId="77777777" w:rsidTr="002510CC">
        <w:trPr>
          <w:trHeight w:val="501"/>
        </w:trPr>
        <w:tc>
          <w:tcPr>
            <w:tcW w:w="10880" w:type="dxa"/>
            <w:gridSpan w:val="2"/>
            <w:vAlign w:val="center"/>
          </w:tcPr>
          <w:p w14:paraId="77B1489D" w14:textId="2F1AEB4C" w:rsidR="00C03658" w:rsidRPr="00DD1425" w:rsidRDefault="0093599A" w:rsidP="00C12695">
            <w:pPr>
              <w:widowControl w:val="0"/>
              <w:tabs>
                <w:tab w:val="left" w:pos="880"/>
                <w:tab w:val="left" w:pos="1022"/>
                <w:tab w:val="left" w:pos="1164"/>
              </w:tabs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3.3.2.</w:t>
            </w:r>
            <w:r w:rsidR="00DD452E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Запрашивать Выписки и иную информацию, предусмотренную законодательством Республики Казахстан и ДБО Партнеров</w:t>
            </w:r>
            <w:r w:rsidR="00B303B3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14:paraId="2FB8E6FC" w14:textId="77777777" w:rsidTr="003A23FC">
        <w:trPr>
          <w:trHeight w:val="278"/>
        </w:trPr>
        <w:tc>
          <w:tcPr>
            <w:tcW w:w="10880" w:type="dxa"/>
            <w:gridSpan w:val="2"/>
            <w:vAlign w:val="center"/>
          </w:tcPr>
          <w:p w14:paraId="28BB2CF8" w14:textId="5E01616C" w:rsidR="00DD452E" w:rsidRPr="00DD1425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 w:rsidRPr="00DD1425">
              <w:rPr>
                <w:rFonts w:ascii="Arial" w:hAnsi="Arial" w:cs="Arial"/>
                <w:b/>
                <w:sz w:val="20"/>
                <w:szCs w:val="20"/>
              </w:rPr>
              <w:t>3.4. Партнер обязуется:</w:t>
            </w:r>
          </w:p>
        </w:tc>
      </w:tr>
      <w:tr w:rsidR="00295CDB" w:rsidRPr="00DD1425" w14:paraId="5598387A" w14:textId="77777777" w:rsidTr="003A23FC">
        <w:trPr>
          <w:trHeight w:val="487"/>
        </w:trPr>
        <w:tc>
          <w:tcPr>
            <w:tcW w:w="10880" w:type="dxa"/>
            <w:gridSpan w:val="2"/>
          </w:tcPr>
          <w:p w14:paraId="5ABECDD0" w14:textId="038CF438" w:rsidR="00C03658" w:rsidRPr="00DD1425" w:rsidRDefault="00DD452E" w:rsidP="00C12695">
            <w:pPr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3.4.1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D41" w:rsidRPr="00DD1425">
              <w:rPr>
                <w:rFonts w:ascii="Arial" w:hAnsi="Arial" w:cs="Arial"/>
                <w:sz w:val="20"/>
                <w:szCs w:val="20"/>
              </w:rPr>
              <w:t>Предоставить Банку все необходимые документы для открытия и ведения Счета, определяемые законодательством Республики Казахстан и внутренними документами Банка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6684C75A" w14:textId="77777777" w:rsidTr="003A23FC">
        <w:trPr>
          <w:trHeight w:val="1423"/>
        </w:trPr>
        <w:tc>
          <w:tcPr>
            <w:tcW w:w="10880" w:type="dxa"/>
            <w:gridSpan w:val="2"/>
          </w:tcPr>
          <w:p w14:paraId="1C93A099" w14:textId="216C54DD" w:rsidR="00C03658" w:rsidRPr="00DD1425" w:rsidRDefault="00DD452E" w:rsidP="00C12695">
            <w:pPr>
              <w:widowControl w:val="0"/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.4.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F2D41" w:rsidRPr="00DD1425">
              <w:rPr>
                <w:rFonts w:ascii="Arial" w:hAnsi="Arial" w:cs="Arial"/>
                <w:sz w:val="20"/>
                <w:szCs w:val="20"/>
              </w:rPr>
              <w:t xml:space="preserve">В пятидневный срок письменно сообщать Банку об изменении своего почтового адреса, </w:t>
            </w:r>
            <w:r w:rsidR="002723DD" w:rsidRPr="002723DD">
              <w:rPr>
                <w:rFonts w:ascii="Arial" w:hAnsi="Arial" w:cs="Arial"/>
                <w:sz w:val="20"/>
                <w:szCs w:val="20"/>
              </w:rPr>
              <w:t xml:space="preserve">адреса электронной почты, указанного в Заявлении, </w:t>
            </w:r>
            <w:r w:rsidR="002F2D41" w:rsidRPr="00DD1425">
              <w:rPr>
                <w:rFonts w:ascii="Arial" w:hAnsi="Arial" w:cs="Arial"/>
                <w:sz w:val="20"/>
                <w:szCs w:val="20"/>
              </w:rPr>
              <w:t>номеров телефонов, замене удостоверения личности (для индивидуальных предпринимателей), о перерегистрации, регистрации (при реорганизации) в уполномоченном государственном органе (для юридических лиц), других данных, предоставленных Банку, с представлением подтверждающих надлежащим образом удостоверенных документов. Ранее представленные Партнером документы для открытия и ведения Счета Банком не возвращаются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61455D1A" w14:textId="77777777" w:rsidTr="003A23FC">
        <w:trPr>
          <w:trHeight w:val="488"/>
        </w:trPr>
        <w:tc>
          <w:tcPr>
            <w:tcW w:w="10880" w:type="dxa"/>
            <w:gridSpan w:val="2"/>
          </w:tcPr>
          <w:p w14:paraId="7C0EDD1B" w14:textId="5E6F76F5" w:rsidR="0093599A" w:rsidRPr="00DD1425" w:rsidRDefault="00DD452E" w:rsidP="00C12695">
            <w:pPr>
              <w:pStyle w:val="Default"/>
              <w:widowControl w:val="0"/>
              <w:tabs>
                <w:tab w:val="left" w:pos="567"/>
              </w:tabs>
              <w:ind w:left="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3.4.3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D41" w:rsidRPr="00DD1425">
              <w:rPr>
                <w:rFonts w:ascii="Arial" w:hAnsi="Arial" w:cs="Arial"/>
                <w:bCs/>
                <w:color w:val="auto"/>
                <w:sz w:val="20"/>
                <w:szCs w:val="20"/>
              </w:rPr>
              <w:t>Возвратить в Банк деньги, ошибочно зачисленные на Счет в соответствии с законодательством Республики Казахстан в размере ошибочно зачисленных денег</w:t>
            </w:r>
            <w:r w:rsidRPr="00DD1425">
              <w:rPr>
                <w:rFonts w:ascii="Arial" w:hAnsi="Arial" w:cs="Arial"/>
                <w:bCs/>
                <w:color w:val="auto"/>
                <w:sz w:val="20"/>
                <w:szCs w:val="20"/>
              </w:rPr>
              <w:t>;</w:t>
            </w:r>
          </w:p>
        </w:tc>
      </w:tr>
      <w:tr w:rsidR="00295CDB" w:rsidRPr="00DD1425" w14:paraId="66FC0F4A" w14:textId="77777777" w:rsidTr="00871ECD">
        <w:trPr>
          <w:trHeight w:val="264"/>
        </w:trPr>
        <w:tc>
          <w:tcPr>
            <w:tcW w:w="10880" w:type="dxa"/>
            <w:gridSpan w:val="2"/>
          </w:tcPr>
          <w:p w14:paraId="3D1197DF" w14:textId="4CA1DDC2" w:rsidR="0093599A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3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3.4.4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858" w:rsidRPr="00DD1425">
              <w:rPr>
                <w:rFonts w:ascii="Arial" w:hAnsi="Arial" w:cs="Arial"/>
                <w:bCs/>
                <w:sz w:val="20"/>
                <w:szCs w:val="20"/>
              </w:rPr>
              <w:t>Своевременно оплачивать Услуги Банка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14:paraId="282A1734" w14:textId="77777777" w:rsidTr="003A23FC">
        <w:trPr>
          <w:trHeight w:val="713"/>
        </w:trPr>
        <w:tc>
          <w:tcPr>
            <w:tcW w:w="10880" w:type="dxa"/>
            <w:gridSpan w:val="2"/>
          </w:tcPr>
          <w:p w14:paraId="6EE37C72" w14:textId="6F727FBE" w:rsidR="0093599A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1053"/>
              </w:tabs>
              <w:ind w:left="3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3.4.5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4641" w:rsidRPr="00DD1425">
              <w:rPr>
                <w:rFonts w:ascii="Arial" w:hAnsi="Arial" w:cs="Arial"/>
                <w:bCs/>
                <w:sz w:val="20"/>
                <w:szCs w:val="20"/>
              </w:rPr>
              <w:t>Соблюдать требования законодательства Республики Казахстан, в том числе валютное законодательство Республики Казахстан и законодательство о противодействии легализации (отмыванию) доходов, полученных преступным путем, и финансированию терроризма при проведении Операций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14:paraId="44611920" w14:textId="77777777" w:rsidTr="003A23FC">
        <w:trPr>
          <w:trHeight w:val="460"/>
        </w:trPr>
        <w:tc>
          <w:tcPr>
            <w:tcW w:w="10880" w:type="dxa"/>
            <w:gridSpan w:val="2"/>
          </w:tcPr>
          <w:p w14:paraId="71C8EE0B" w14:textId="5BCED598" w:rsidR="0093599A" w:rsidRPr="00DD1425" w:rsidRDefault="00DD452E" w:rsidP="00C12695">
            <w:pPr>
              <w:widowControl w:val="0"/>
              <w:ind w:left="3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3.4.6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641" w:rsidRPr="00DD1425">
              <w:rPr>
                <w:rFonts w:ascii="Arial" w:hAnsi="Arial" w:cs="Arial"/>
                <w:bCs/>
                <w:sz w:val="20"/>
                <w:szCs w:val="20"/>
              </w:rPr>
              <w:t>Возмещать расходы и судебные издержки, понесенные Банком по вине Партнера – в полном объеме ущерба, причиненного Банку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14:paraId="17B12225" w14:textId="77777777" w:rsidTr="003A23FC">
        <w:trPr>
          <w:trHeight w:val="292"/>
        </w:trPr>
        <w:tc>
          <w:tcPr>
            <w:tcW w:w="10880" w:type="dxa"/>
            <w:gridSpan w:val="2"/>
            <w:vAlign w:val="center"/>
          </w:tcPr>
          <w:p w14:paraId="5C0DC7A6" w14:textId="5551C13F" w:rsidR="0093599A" w:rsidRPr="00DD1425" w:rsidRDefault="00DD452E" w:rsidP="00C12695">
            <w:pPr>
              <w:ind w:left="455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3.4.7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4641" w:rsidRPr="00DD1425">
              <w:rPr>
                <w:rFonts w:ascii="Arial" w:hAnsi="Arial" w:cs="Arial"/>
                <w:bCs/>
                <w:sz w:val="20"/>
                <w:szCs w:val="20"/>
              </w:rPr>
              <w:t>Надлежащим образом исполнять условия ДБО Партнеров и Приложения к нему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14:paraId="64AAFB9C" w14:textId="77777777" w:rsidTr="003A23FC">
        <w:trPr>
          <w:trHeight w:val="473"/>
        </w:trPr>
        <w:tc>
          <w:tcPr>
            <w:tcW w:w="10880" w:type="dxa"/>
            <w:gridSpan w:val="2"/>
          </w:tcPr>
          <w:p w14:paraId="01779C11" w14:textId="078D1767" w:rsidR="0093599A" w:rsidRPr="00DD1425" w:rsidRDefault="00DD452E" w:rsidP="00C12695">
            <w:pPr>
              <w:widowControl w:val="0"/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3.4.8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641" w:rsidRPr="00DD1425">
              <w:rPr>
                <w:rFonts w:ascii="Arial" w:hAnsi="Arial" w:cs="Arial"/>
                <w:sz w:val="20"/>
                <w:szCs w:val="20"/>
              </w:rPr>
              <w:t>Соблюдать правила, установленные документами, размещенными на Сайте, ссылки на которые содержатся в ДБО Партнеров и в Приложениях к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6531042B" w14:textId="77777777" w:rsidTr="003A23FC">
        <w:trPr>
          <w:trHeight w:val="487"/>
        </w:trPr>
        <w:tc>
          <w:tcPr>
            <w:tcW w:w="10880" w:type="dxa"/>
            <w:gridSpan w:val="2"/>
            <w:vAlign w:val="center"/>
          </w:tcPr>
          <w:p w14:paraId="0E837BCC" w14:textId="136B6D89" w:rsidR="0093599A" w:rsidRPr="00DD1425" w:rsidRDefault="00DD452E" w:rsidP="00C12695">
            <w:pPr>
              <w:widowControl w:val="0"/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3.4.9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sz w:val="20"/>
                <w:szCs w:val="20"/>
              </w:rPr>
              <w:t>Предоставлять информацию о номере и сроке действия лицензии, а также об органе, ее выдавшем, в случае если деятельность, осуществляемая Партнером, подлежит лицензированию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70F75DE7" w14:textId="77777777" w:rsidTr="003A23FC">
        <w:trPr>
          <w:trHeight w:val="1410"/>
        </w:trPr>
        <w:tc>
          <w:tcPr>
            <w:tcW w:w="10880" w:type="dxa"/>
            <w:gridSpan w:val="2"/>
            <w:vAlign w:val="center"/>
          </w:tcPr>
          <w:p w14:paraId="2479D544" w14:textId="335344FD" w:rsidR="0093599A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3.4.10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>Представлять Банку любые документы и информацию, запрашиваемые им для целей осуществления валютного контроля, соблюдения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терроризма, а также для осуществления сбора, обработки и передачи данных/ персональных данных Партнера в Налоговую Службу США (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Internal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Revenue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Service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) в  соответствии с требованиями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FATCA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>, в том числе, посредством уполномоченных государственных органов Республики Казахстан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14:paraId="402353E9" w14:textId="77777777" w:rsidTr="003A23FC">
        <w:trPr>
          <w:trHeight w:val="753"/>
        </w:trPr>
        <w:tc>
          <w:tcPr>
            <w:tcW w:w="10880" w:type="dxa"/>
            <w:gridSpan w:val="2"/>
            <w:vAlign w:val="center"/>
          </w:tcPr>
          <w:p w14:paraId="5CDA5CB4" w14:textId="281E66BE" w:rsidR="0093599A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3.4.11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>По требованию Банка представлять в Банк обосновывающие и иные необходимые для проведения Операции документы и сведения в соответствии с требованиями действующего законодательства Республики Казахстан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14:paraId="6F1EEB05" w14:textId="77777777" w:rsidTr="00871ECD">
        <w:trPr>
          <w:trHeight w:val="180"/>
        </w:trPr>
        <w:tc>
          <w:tcPr>
            <w:tcW w:w="10880" w:type="dxa"/>
            <w:gridSpan w:val="2"/>
            <w:vAlign w:val="center"/>
          </w:tcPr>
          <w:p w14:paraId="40630878" w14:textId="3248C3A7" w:rsidR="004119C2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3.4.12.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>Передавать свои права и обязанности по ДБО Партнеров только с письменного согласия Банка</w:t>
            </w:r>
            <w:r w:rsidR="004119C2"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3A97CAC3" w14:textId="77777777" w:rsidR="002723DD" w:rsidRDefault="00F75EDF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3.4.13. </w:t>
            </w:r>
            <w:r w:rsidR="004F756C" w:rsidRPr="00DD1425">
              <w:rPr>
                <w:rFonts w:ascii="Arial" w:hAnsi="Arial" w:cs="Arial"/>
                <w:bCs/>
                <w:sz w:val="20"/>
                <w:szCs w:val="20"/>
              </w:rPr>
              <w:t>Для получения уведомлений о проведенных Операциях/Транзакциях по Счетам в Мобильном приложении активировать соответствующую функцию в Мобильном приложении</w:t>
            </w:r>
            <w:r w:rsidR="002723D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2656E86A" w14:textId="26883813" w:rsidR="004F756C" w:rsidRPr="00DD1425" w:rsidRDefault="002723DD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3.4.14. 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>Не предоставлять третьим лицам, работникам, не имеющих полномочий действовать от имени Партнера, доступ к адресу электронной почты Партнера, указанному в Заявлении на присоединение, а в случае его изменения – к иному адресу, сообщенному Банку в порядке, предусмотренном ДБО Партнеров</w:t>
            </w:r>
            <w:r w:rsidR="004F756C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14:paraId="5DD3DCB5" w14:textId="77777777" w:rsidTr="003A23FC">
        <w:trPr>
          <w:trHeight w:val="655"/>
        </w:trPr>
        <w:tc>
          <w:tcPr>
            <w:tcW w:w="10880" w:type="dxa"/>
            <w:gridSpan w:val="2"/>
            <w:vAlign w:val="bottom"/>
          </w:tcPr>
          <w:p w14:paraId="102B07B8" w14:textId="66CCBF6C" w:rsidR="0093599A" w:rsidRPr="00DD1425" w:rsidRDefault="00DD452E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bCs/>
                <w:sz w:val="28"/>
                <w:szCs w:val="28"/>
              </w:rPr>
              <w:t>Ответственность</w:t>
            </w:r>
          </w:p>
        </w:tc>
      </w:tr>
      <w:tr w:rsidR="00295CDB" w:rsidRPr="00DD1425" w14:paraId="22AA4FA4" w14:textId="77777777" w:rsidTr="003A23FC">
        <w:trPr>
          <w:trHeight w:val="739"/>
        </w:trPr>
        <w:tc>
          <w:tcPr>
            <w:tcW w:w="10880" w:type="dxa"/>
            <w:gridSpan w:val="2"/>
            <w:vAlign w:val="bottom"/>
          </w:tcPr>
          <w:p w14:paraId="23C6F4CE" w14:textId="14871E67" w:rsidR="0093599A" w:rsidRPr="00DD1425" w:rsidRDefault="00DD452E" w:rsidP="00C12695">
            <w:pPr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4.1.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>Стороны несут ответственность за неисполнение и/или ненадлежащее исполнение своих обязательств, предусмотренных ДБО Партнеров и Приложениями, в соответствии с законодательством Республики Казахстан и ДБО Партнеров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14:paraId="663A10BA" w14:textId="77777777" w:rsidTr="003A23FC">
        <w:trPr>
          <w:trHeight w:val="236"/>
        </w:trPr>
        <w:tc>
          <w:tcPr>
            <w:tcW w:w="10880" w:type="dxa"/>
            <w:gridSpan w:val="2"/>
            <w:vAlign w:val="center"/>
          </w:tcPr>
          <w:p w14:paraId="7ABE0105" w14:textId="3FC1D0DE" w:rsidR="0093599A" w:rsidRPr="00DD1425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4.2.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>Банк несет ответственность за разглашение информации о Партнере, составляющую банковскую тайну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295CDB" w:rsidRPr="00DD1425" w14:paraId="1B84109B" w14:textId="77777777" w:rsidTr="003A23FC">
        <w:trPr>
          <w:trHeight w:val="725"/>
        </w:trPr>
        <w:tc>
          <w:tcPr>
            <w:tcW w:w="10880" w:type="dxa"/>
            <w:gridSpan w:val="2"/>
            <w:vAlign w:val="center"/>
          </w:tcPr>
          <w:p w14:paraId="5CA0AFC5" w14:textId="3C35E9F5" w:rsidR="0093599A" w:rsidRPr="00DD1425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4.3.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>Банк не несет ответственность за невозможность проведения Операции по техническим причинам (неисправность линий связи либо коммуникационного оборудования, работа которых не зависит от Банка) либо по причине отказа в совершении Операции третьим лицом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295CDB" w:rsidRPr="00DD1425" w14:paraId="56D55A77" w14:textId="77777777" w:rsidTr="003A23FC">
        <w:trPr>
          <w:trHeight w:val="697"/>
        </w:trPr>
        <w:tc>
          <w:tcPr>
            <w:tcW w:w="10880" w:type="dxa"/>
            <w:gridSpan w:val="2"/>
            <w:vAlign w:val="center"/>
          </w:tcPr>
          <w:p w14:paraId="347DBD56" w14:textId="17E81887" w:rsidR="0093599A" w:rsidRPr="00DD1425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4.4.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>Стороны освобождаются от ответственности за полное или частичное неисполнение обязательств, если оно явилось следствием обстоятельств непреодолимой силы: наводнения, землетрясения и иных чрезвычайных и непредотвратимых при данных условиях обстоятельств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14:paraId="5DC8174F" w14:textId="77777777" w:rsidTr="003A23FC">
        <w:trPr>
          <w:trHeight w:val="739"/>
        </w:trPr>
        <w:tc>
          <w:tcPr>
            <w:tcW w:w="10880" w:type="dxa"/>
            <w:gridSpan w:val="2"/>
            <w:vAlign w:val="center"/>
          </w:tcPr>
          <w:p w14:paraId="51FC7958" w14:textId="11368FF6" w:rsidR="0093599A" w:rsidRPr="00DD1425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4.5. 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>Банк не несет ответственности за убытки, понесенные Партнером в результате приостановления расходных операций по Счету и/или наложения ареста на деньги, находящиеся на Счете, на основании решений уполномоченных государственных органов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14:paraId="225CB2A6" w14:textId="77777777" w:rsidTr="00871ECD">
        <w:trPr>
          <w:trHeight w:val="324"/>
        </w:trPr>
        <w:tc>
          <w:tcPr>
            <w:tcW w:w="10880" w:type="dxa"/>
            <w:gridSpan w:val="2"/>
            <w:vAlign w:val="center"/>
          </w:tcPr>
          <w:p w14:paraId="54E905F7" w14:textId="77777777" w:rsidR="0093599A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4.6. 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>Партнер несет ответственность за достоверность документов</w:t>
            </w:r>
            <w:r w:rsidR="00074A3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и информации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>, предоставляемых в Банк в соответствии с ДБО Партнеров, согласно законодательству Республики Казахстан и внутренним нормативным документам Банка</w:t>
            </w:r>
            <w:r w:rsidR="009D48B5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7072AF4" w14:textId="3CE29E7C" w:rsidR="002723DD" w:rsidRDefault="004119C2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4.7. Банк не несет ответственность за невозможность предоставления </w:t>
            </w:r>
            <w:r w:rsidR="007C098A" w:rsidRPr="00DD1425">
              <w:rPr>
                <w:rFonts w:ascii="Arial" w:hAnsi="Arial" w:cs="Arial"/>
                <w:bCs/>
                <w:sz w:val="20"/>
                <w:szCs w:val="20"/>
              </w:rPr>
              <w:t>Партнеру/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Пользователю уведомлений о проведенных Операциях/Транзакциях по Счетам, в случае</w:t>
            </w:r>
            <w:r w:rsidR="002F390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отсутствия технической возможности у Банка, в т.ч.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если Партнером/Пользовате</w:t>
            </w:r>
            <w:r w:rsidR="00D94618" w:rsidRPr="00DD1425">
              <w:rPr>
                <w:rFonts w:ascii="Arial" w:hAnsi="Arial" w:cs="Arial"/>
                <w:bCs/>
                <w:sz w:val="20"/>
                <w:szCs w:val="20"/>
              </w:rPr>
              <w:t>лем такая услуга была отключена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461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на </w:t>
            </w:r>
            <w:r w:rsidR="00D94618"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D9461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4618"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Business</w:t>
            </w:r>
            <w:r w:rsidR="004F756C" w:rsidRPr="00DD1425">
              <w:rPr>
                <w:rFonts w:ascii="Arial" w:hAnsi="Arial" w:cs="Arial"/>
                <w:bCs/>
                <w:sz w:val="20"/>
                <w:szCs w:val="20"/>
              </w:rPr>
              <w:t>, или в Мобильном приложении не активирована (отключена) соответствующая функци</w:t>
            </w:r>
            <w:r w:rsidR="002723DD">
              <w:rPr>
                <w:rFonts w:ascii="Arial" w:hAnsi="Arial" w:cs="Arial"/>
                <w:bCs/>
                <w:sz w:val="20"/>
                <w:szCs w:val="20"/>
              </w:rPr>
              <w:t>я;</w:t>
            </w:r>
          </w:p>
          <w:p w14:paraId="60331294" w14:textId="551BD7F3" w:rsidR="004119C2" w:rsidRPr="00DD1425" w:rsidRDefault="002723DD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4.8. 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>Партнер несет ответственность за возможные убытки и/или иные последствия, которые могут возникнуть в результате доступа третьих лиц и/или работников, не имеющих полномочий действовать от имени Партнера, к адресу электронной почты Партнера, указанному в Заявлении на присоединение, а в случае его изменения к иному адресу,  сообщенному Банку в порядке, предусмотренном ДБО Партнеров</w:t>
            </w:r>
            <w:r w:rsidR="004119C2" w:rsidRPr="00DD142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295CDB" w:rsidRPr="00DD1425" w14:paraId="48F3B85B" w14:textId="77777777" w:rsidTr="00C12695">
        <w:trPr>
          <w:trHeight w:val="430"/>
        </w:trPr>
        <w:tc>
          <w:tcPr>
            <w:tcW w:w="10880" w:type="dxa"/>
            <w:gridSpan w:val="2"/>
            <w:vAlign w:val="bottom"/>
          </w:tcPr>
          <w:p w14:paraId="593E5FF2" w14:textId="1F698456" w:rsidR="0093599A" w:rsidRPr="00DD1425" w:rsidRDefault="00DD452E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  <w:tab w:val="left" w:pos="597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sz w:val="28"/>
                <w:szCs w:val="28"/>
              </w:rPr>
              <w:lastRenderedPageBreak/>
              <w:t>Порядок рассмотрения споров</w:t>
            </w:r>
          </w:p>
        </w:tc>
      </w:tr>
      <w:tr w:rsidR="00295CDB" w:rsidRPr="00DD1425" w14:paraId="606F8CF7" w14:textId="77777777" w:rsidTr="00871ECD">
        <w:trPr>
          <w:trHeight w:val="1005"/>
        </w:trPr>
        <w:tc>
          <w:tcPr>
            <w:tcW w:w="10880" w:type="dxa"/>
            <w:gridSpan w:val="2"/>
            <w:vAlign w:val="bottom"/>
          </w:tcPr>
          <w:p w14:paraId="48F4550C" w14:textId="46C3060A" w:rsidR="0093599A" w:rsidRPr="00DD1425" w:rsidRDefault="00DD452E" w:rsidP="00C12695">
            <w:pPr>
              <w:ind w:left="176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5.1. </w:t>
            </w:r>
            <w:r w:rsidR="008E0C44" w:rsidRPr="00DD1425">
              <w:rPr>
                <w:rFonts w:ascii="Arial" w:eastAsia="Calibri" w:hAnsi="Arial" w:cs="Arial"/>
                <w:bCs/>
                <w:sz w:val="20"/>
                <w:szCs w:val="20"/>
              </w:rPr>
              <w:t>Стороны принимают меры по урегулированию возникших споров, противоречий и разногласий по ДБО Партнеров путем переговоров. При невозможности проведения переговоров либо невозможности разрешения споров, противоречий и разногласий путем переговоров они разрешаются в судебном порядке, по месту нахождения Банка</w:t>
            </w:r>
            <w:r w:rsidRPr="00DD1425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14:paraId="6D71347F" w14:textId="77777777" w:rsidTr="003A23FC">
        <w:trPr>
          <w:trHeight w:val="459"/>
        </w:trPr>
        <w:tc>
          <w:tcPr>
            <w:tcW w:w="10880" w:type="dxa"/>
            <w:gridSpan w:val="2"/>
            <w:vAlign w:val="center"/>
          </w:tcPr>
          <w:p w14:paraId="327FD73E" w14:textId="67B9F851" w:rsidR="0093599A" w:rsidRPr="00DD1425" w:rsidRDefault="008E0C44" w:rsidP="00C12695">
            <w:pPr>
              <w:pStyle w:val="a5"/>
              <w:numPr>
                <w:ilvl w:val="1"/>
                <w:numId w:val="28"/>
              </w:numPr>
              <w:tabs>
                <w:tab w:val="left" w:pos="142"/>
                <w:tab w:val="left" w:pos="567"/>
              </w:tabs>
              <w:ind w:left="176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D1425">
              <w:rPr>
                <w:rFonts w:ascii="Arial" w:eastAsia="Calibri" w:hAnsi="Arial" w:cs="Arial"/>
                <w:bCs/>
                <w:sz w:val="20"/>
                <w:szCs w:val="20"/>
              </w:rPr>
              <w:t>Спорные ситуации при оказании банковской услуги по соответствующему Приложению разрешаются в порядке, предусмотренном соответствующим Приложением</w:t>
            </w:r>
            <w:r w:rsidR="00DD452E" w:rsidRPr="00DD142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295CDB" w:rsidRPr="00DD1425" w14:paraId="0107FBD4" w14:textId="77777777" w:rsidTr="002510CC">
        <w:trPr>
          <w:trHeight w:val="661"/>
        </w:trPr>
        <w:tc>
          <w:tcPr>
            <w:tcW w:w="10880" w:type="dxa"/>
            <w:gridSpan w:val="2"/>
            <w:vAlign w:val="bottom"/>
          </w:tcPr>
          <w:p w14:paraId="2AF7D736" w14:textId="0F215564" w:rsidR="0093599A" w:rsidRPr="00DD1425" w:rsidRDefault="00DD452E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  <w:tab w:val="left" w:pos="597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sz w:val="28"/>
                <w:szCs w:val="28"/>
              </w:rPr>
              <w:t>Изменение и расторжение ДБО Партнеров</w:t>
            </w:r>
          </w:p>
        </w:tc>
      </w:tr>
      <w:tr w:rsidR="00295CDB" w:rsidRPr="00DD1425" w14:paraId="0993E204" w14:textId="77777777" w:rsidTr="003A23FC">
        <w:trPr>
          <w:trHeight w:val="557"/>
        </w:trPr>
        <w:tc>
          <w:tcPr>
            <w:tcW w:w="10880" w:type="dxa"/>
            <w:gridSpan w:val="2"/>
            <w:vAlign w:val="bottom"/>
          </w:tcPr>
          <w:p w14:paraId="2A5492E3" w14:textId="3C0D8CB8" w:rsidR="0093599A" w:rsidRPr="00DD1425" w:rsidRDefault="00DD452E" w:rsidP="00C12695">
            <w:pPr>
              <w:widowControl w:val="0"/>
              <w:tabs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6.1. </w:t>
            </w:r>
            <w:r w:rsidR="008E0C44" w:rsidRPr="00DD1425">
              <w:rPr>
                <w:rFonts w:ascii="Arial" w:hAnsi="Arial" w:cs="Arial"/>
                <w:sz w:val="20"/>
                <w:szCs w:val="20"/>
              </w:rPr>
              <w:t xml:space="preserve">ДБО Партнёров действует бессрочно и может быть расторгнут любой из Сторон в порядке и </w:t>
            </w:r>
            <w:r w:rsidR="00ED55E0" w:rsidRPr="00DD1425">
              <w:rPr>
                <w:rFonts w:ascii="Arial" w:hAnsi="Arial" w:cs="Arial"/>
                <w:sz w:val="20"/>
                <w:szCs w:val="20"/>
              </w:rPr>
              <w:t>на основаниях,</w:t>
            </w:r>
            <w:r w:rsidR="008E0C44" w:rsidRPr="00DD1425">
              <w:rPr>
                <w:rFonts w:ascii="Arial" w:hAnsi="Arial" w:cs="Arial"/>
                <w:sz w:val="20"/>
                <w:szCs w:val="20"/>
              </w:rPr>
              <w:t xml:space="preserve"> предусмотренных законодательством Республики Казахстан и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14:paraId="38480573" w14:textId="77777777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14:paraId="09526060" w14:textId="58347027" w:rsidR="0093599A" w:rsidRPr="00DD1425" w:rsidRDefault="00DD452E" w:rsidP="00B10D0C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6.2. </w:t>
            </w:r>
            <w:r w:rsidR="008E0C44" w:rsidRPr="00DD1425">
              <w:rPr>
                <w:rFonts w:ascii="Arial" w:hAnsi="Arial" w:cs="Arial"/>
                <w:sz w:val="20"/>
                <w:szCs w:val="20"/>
              </w:rPr>
              <w:t>Изменение условий ДБО Партнеров осуществляется путем подписания дополнительного соглашения, за исключением случаев</w:t>
            </w:r>
            <w:r w:rsidR="00766C73" w:rsidRPr="00DD1425">
              <w:rPr>
                <w:rFonts w:ascii="Arial" w:hAnsi="Arial" w:cs="Arial"/>
                <w:sz w:val="20"/>
                <w:szCs w:val="20"/>
              </w:rPr>
              <w:t>,</w:t>
            </w:r>
            <w:r w:rsidR="008E0C44" w:rsidRPr="00DD1425">
              <w:rPr>
                <w:rFonts w:ascii="Arial" w:hAnsi="Arial" w:cs="Arial"/>
                <w:sz w:val="20"/>
                <w:szCs w:val="20"/>
              </w:rPr>
              <w:t xml:space="preserve"> предусмотренных ДБО Партнеров и Приложениями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1CCF" w:rsidRPr="00DD1425" w14:paraId="02C7C479" w14:textId="77777777" w:rsidTr="00871ECD">
        <w:trPr>
          <w:trHeight w:val="250"/>
        </w:trPr>
        <w:tc>
          <w:tcPr>
            <w:tcW w:w="10880" w:type="dxa"/>
            <w:gridSpan w:val="2"/>
            <w:vAlign w:val="center"/>
          </w:tcPr>
          <w:p w14:paraId="3E05E24F" w14:textId="5C9128B2" w:rsidR="001D1CCF" w:rsidRPr="00DD1425" w:rsidRDefault="001D1CCF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 Банком</w:t>
            </w:r>
            <w:r w:rsidRPr="00DD1425" w:rsidDel="00CD09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в одностороннем порядке изменяются условия ДБО Партнеров, касающиеся: </w:t>
            </w:r>
          </w:p>
        </w:tc>
      </w:tr>
      <w:tr w:rsidR="001D1CCF" w:rsidRPr="00DD1425" w14:paraId="2F00DA52" w14:textId="77777777" w:rsidTr="00B10D0C">
        <w:trPr>
          <w:trHeight w:val="151"/>
        </w:trPr>
        <w:tc>
          <w:tcPr>
            <w:tcW w:w="10880" w:type="dxa"/>
            <w:gridSpan w:val="2"/>
            <w:vAlign w:val="center"/>
          </w:tcPr>
          <w:p w14:paraId="2798E11D" w14:textId="5C6F8176" w:rsidR="001D1CCF" w:rsidRPr="00DD1425" w:rsidRDefault="001D1CCF" w:rsidP="00C12695">
            <w:pPr>
              <w:widowControl w:val="0"/>
              <w:tabs>
                <w:tab w:val="left" w:pos="880"/>
                <w:tab w:val="left" w:pos="1022"/>
                <w:tab w:val="left" w:pos="1114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6.3.1.</w:t>
            </w:r>
            <w:r w:rsidRPr="00DD1425">
              <w:rPr>
                <w:rFonts w:ascii="Arial" w:hAnsi="Arial" w:cs="Arial"/>
                <w:sz w:val="20"/>
                <w:szCs w:val="20"/>
              </w:rPr>
              <w:tab/>
              <w:t>Снижения размера взимаемых комиссий по ДБО Партнеров;</w:t>
            </w:r>
          </w:p>
        </w:tc>
      </w:tr>
      <w:tr w:rsidR="001D1CCF" w:rsidRPr="00DD1425" w14:paraId="5BA023F9" w14:textId="77777777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14:paraId="4EC44BE3" w14:textId="25CD992C" w:rsidR="001D1CCF" w:rsidRPr="00DD1425" w:rsidRDefault="001D1CCF" w:rsidP="00C12695">
            <w:pPr>
              <w:tabs>
                <w:tab w:val="left" w:pos="142"/>
                <w:tab w:val="left" w:pos="567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6.3.2. Предоставления отсрочки по уплате комиссии;</w:t>
            </w:r>
          </w:p>
        </w:tc>
      </w:tr>
      <w:tr w:rsidR="001D1CCF" w:rsidRPr="00DD1425" w14:paraId="35DAF563" w14:textId="77777777" w:rsidTr="00386A75">
        <w:trPr>
          <w:trHeight w:val="208"/>
        </w:trPr>
        <w:tc>
          <w:tcPr>
            <w:tcW w:w="10880" w:type="dxa"/>
            <w:gridSpan w:val="2"/>
            <w:vAlign w:val="center"/>
          </w:tcPr>
          <w:p w14:paraId="2990DF80" w14:textId="71C990D1" w:rsidR="001D1CCF" w:rsidRPr="00DD1425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6.3.3. Предоставления и/или отмены льгот или скидок по уплате комиссии;</w:t>
            </w:r>
          </w:p>
        </w:tc>
      </w:tr>
      <w:tr w:rsidR="001D1CCF" w:rsidRPr="00DD1425" w14:paraId="48817D38" w14:textId="77777777" w:rsidTr="00B25A7B">
        <w:trPr>
          <w:trHeight w:val="147"/>
        </w:trPr>
        <w:tc>
          <w:tcPr>
            <w:tcW w:w="10880" w:type="dxa"/>
            <w:gridSpan w:val="2"/>
            <w:vAlign w:val="center"/>
          </w:tcPr>
          <w:p w14:paraId="2C04A02C" w14:textId="212C68E1" w:rsidR="001D1CCF" w:rsidRPr="00DD1425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6.3.4. Усиления процедур безопасности от несанкционированных платежей, мошеннических действий, разглашения конфиденциальной информации, или иных противоправных действий;</w:t>
            </w:r>
          </w:p>
        </w:tc>
      </w:tr>
      <w:tr w:rsidR="00295CDB" w:rsidRPr="00DD1425" w14:paraId="6202129C" w14:textId="77777777" w:rsidTr="00386A75">
        <w:trPr>
          <w:trHeight w:val="210"/>
        </w:trPr>
        <w:tc>
          <w:tcPr>
            <w:tcW w:w="10880" w:type="dxa"/>
            <w:gridSpan w:val="2"/>
            <w:vAlign w:val="center"/>
          </w:tcPr>
          <w:p w14:paraId="2AADA0E4" w14:textId="0BE8C4A0" w:rsidR="00DD452E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6.3.5. </w:t>
            </w:r>
            <w:r w:rsidR="00BC0869" w:rsidRPr="00DD1425">
              <w:rPr>
                <w:rFonts w:ascii="Arial" w:hAnsi="Arial" w:cs="Arial"/>
                <w:sz w:val="20"/>
                <w:szCs w:val="20"/>
              </w:rPr>
              <w:t>Изменения условий и/или порядка оказания Услуг, предусматривающих повышение удобства обслуживания Клиента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40E0E67C" w14:textId="77777777" w:rsidTr="00871ECD">
        <w:trPr>
          <w:trHeight w:val="348"/>
        </w:trPr>
        <w:tc>
          <w:tcPr>
            <w:tcW w:w="10880" w:type="dxa"/>
            <w:gridSpan w:val="2"/>
            <w:vAlign w:val="center"/>
          </w:tcPr>
          <w:p w14:paraId="0490C4F7" w14:textId="30856264" w:rsidR="00DD452E" w:rsidRPr="00DD1425" w:rsidRDefault="00DD452E" w:rsidP="00C12695">
            <w:pPr>
              <w:widowControl w:val="0"/>
              <w:tabs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6.3.6. </w:t>
            </w:r>
            <w:r w:rsidR="00BC0869" w:rsidRPr="00DD1425">
              <w:rPr>
                <w:rFonts w:ascii="Arial" w:hAnsi="Arial" w:cs="Arial"/>
                <w:sz w:val="20"/>
                <w:szCs w:val="20"/>
              </w:rPr>
              <w:t>Изменения условий ДБО Партнеров в связи с изменением законодательства Республики Казахстан, касающегося порядка оказания Услуг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24ADF" w:rsidRPr="00DD1425" w14:paraId="107B00A7" w14:textId="77777777" w:rsidTr="00871ECD">
        <w:trPr>
          <w:trHeight w:val="348"/>
        </w:trPr>
        <w:tc>
          <w:tcPr>
            <w:tcW w:w="10880" w:type="dxa"/>
            <w:gridSpan w:val="2"/>
            <w:vAlign w:val="center"/>
          </w:tcPr>
          <w:p w14:paraId="55BEB6E3" w14:textId="69AC8D25" w:rsidR="00F24ADF" w:rsidRPr="00DD1425" w:rsidRDefault="00C11019" w:rsidP="00C12695">
            <w:pPr>
              <w:widowControl w:val="0"/>
              <w:tabs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6.3.7. </w:t>
            </w:r>
            <w:r w:rsidR="00F24ADF" w:rsidRPr="00DD1425">
              <w:rPr>
                <w:rFonts w:ascii="Arial" w:hAnsi="Arial" w:cs="Arial"/>
                <w:sz w:val="20"/>
                <w:szCs w:val="20"/>
              </w:rPr>
              <w:t xml:space="preserve">Изменения комиссий за осуществление международных платежей и (или) переводов денег с уведомлением Партнера </w:t>
            </w:r>
            <w:r w:rsidRPr="00DD1425">
              <w:rPr>
                <w:rFonts w:ascii="Arial" w:hAnsi="Arial" w:cs="Arial"/>
                <w:sz w:val="20"/>
                <w:szCs w:val="20"/>
              </w:rPr>
              <w:t>посредст</w:t>
            </w:r>
            <w:r w:rsidR="00702B0A" w:rsidRPr="00DD1425">
              <w:rPr>
                <w:rFonts w:ascii="Arial" w:hAnsi="Arial" w:cs="Arial"/>
                <w:sz w:val="20"/>
                <w:szCs w:val="20"/>
              </w:rPr>
              <w:t>в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ом </w:t>
            </w:r>
            <w:r w:rsidR="00702B0A" w:rsidRPr="00DD1425">
              <w:rPr>
                <w:rFonts w:ascii="Arial" w:hAnsi="Arial" w:cs="Arial"/>
                <w:sz w:val="20"/>
                <w:szCs w:val="20"/>
              </w:rPr>
              <w:t>одного из К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аналов связи до момента </w:t>
            </w:r>
            <w:r w:rsidR="00702B0A" w:rsidRPr="00DD1425">
              <w:rPr>
                <w:rFonts w:ascii="Arial" w:hAnsi="Arial" w:cs="Arial"/>
                <w:sz w:val="20"/>
                <w:szCs w:val="20"/>
              </w:rPr>
              <w:t xml:space="preserve">уплаты Партнером </w:t>
            </w:r>
            <w:r w:rsidRPr="00DD1425">
              <w:rPr>
                <w:rFonts w:ascii="Arial" w:hAnsi="Arial" w:cs="Arial"/>
                <w:sz w:val="20"/>
                <w:szCs w:val="20"/>
              </w:rPr>
              <w:t>измененной комис</w:t>
            </w:r>
            <w:r w:rsidR="00702B0A" w:rsidRPr="00DD1425">
              <w:rPr>
                <w:rFonts w:ascii="Arial" w:hAnsi="Arial" w:cs="Arial"/>
                <w:sz w:val="20"/>
                <w:szCs w:val="20"/>
              </w:rPr>
              <w:t>с</w:t>
            </w:r>
            <w:r w:rsidRPr="00DD1425">
              <w:rPr>
                <w:rFonts w:ascii="Arial" w:hAnsi="Arial" w:cs="Arial"/>
                <w:sz w:val="20"/>
                <w:szCs w:val="20"/>
              </w:rPr>
              <w:t>ии;</w:t>
            </w:r>
          </w:p>
        </w:tc>
      </w:tr>
      <w:tr w:rsidR="00295CDB" w:rsidRPr="00DD1425" w14:paraId="364A4B60" w14:textId="77777777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14:paraId="0EF70A14" w14:textId="57AFF53D" w:rsidR="00DD452E" w:rsidRPr="00DD1425" w:rsidRDefault="00DD452E" w:rsidP="00C12695">
            <w:pPr>
              <w:pStyle w:val="a5"/>
              <w:tabs>
                <w:tab w:val="left" w:pos="142"/>
                <w:tab w:val="left" w:pos="567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</w:t>
            </w:r>
            <w:r w:rsidR="00C11019" w:rsidRPr="00DD1425">
              <w:rPr>
                <w:rFonts w:ascii="Arial" w:hAnsi="Arial" w:cs="Arial"/>
                <w:sz w:val="20"/>
                <w:szCs w:val="20"/>
              </w:rPr>
              <w:t>8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C0869" w:rsidRPr="00DD1425">
              <w:rPr>
                <w:rFonts w:ascii="Arial" w:hAnsi="Arial" w:cs="Arial"/>
                <w:sz w:val="20"/>
                <w:szCs w:val="20"/>
              </w:rPr>
              <w:t>Иных случаев, предусмотренных ДБО Партнеров и Приложениями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14:paraId="6E21A7B8" w14:textId="77777777" w:rsidTr="00871ECD">
        <w:trPr>
          <w:trHeight w:val="432"/>
        </w:trPr>
        <w:tc>
          <w:tcPr>
            <w:tcW w:w="10880" w:type="dxa"/>
            <w:gridSpan w:val="2"/>
          </w:tcPr>
          <w:p w14:paraId="5B3A7EDC" w14:textId="74F2A7F7" w:rsidR="00DD452E" w:rsidRPr="00DD1425" w:rsidRDefault="00DD452E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6.4.</w:t>
            </w:r>
            <w:r w:rsidR="00E8757A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869" w:rsidRPr="00DD1425">
              <w:rPr>
                <w:rFonts w:ascii="Arial" w:hAnsi="Arial" w:cs="Arial"/>
                <w:sz w:val="20"/>
                <w:szCs w:val="20"/>
              </w:rPr>
              <w:t xml:space="preserve">Условия ДБО Партнеров, измененные </w:t>
            </w:r>
            <w:r w:rsidR="00270040" w:rsidRPr="00DD1425">
              <w:rPr>
                <w:rFonts w:ascii="Arial" w:hAnsi="Arial" w:cs="Arial"/>
                <w:sz w:val="20"/>
                <w:szCs w:val="20"/>
              </w:rPr>
              <w:t xml:space="preserve">Банком </w:t>
            </w:r>
            <w:r w:rsidR="00BC0869" w:rsidRPr="00DD1425">
              <w:rPr>
                <w:rFonts w:ascii="Arial" w:hAnsi="Arial" w:cs="Arial"/>
                <w:sz w:val="20"/>
                <w:szCs w:val="20"/>
              </w:rPr>
              <w:t>в одностороннем порядке, вступают в силу по истечении 5 календарных дней со дня доведения их до сведения Партнера</w:t>
            </w:r>
            <w:r w:rsidR="00E8757A"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95CDB" w:rsidRPr="00DD1425" w14:paraId="6552C6C3" w14:textId="77777777" w:rsidTr="00871ECD">
        <w:trPr>
          <w:trHeight w:val="366"/>
        </w:trPr>
        <w:tc>
          <w:tcPr>
            <w:tcW w:w="10880" w:type="dxa"/>
            <w:gridSpan w:val="2"/>
          </w:tcPr>
          <w:p w14:paraId="1C2C29F8" w14:textId="76A54B02" w:rsidR="00DD452E" w:rsidRPr="00DD1425" w:rsidRDefault="00E8757A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6.5. </w:t>
            </w:r>
            <w:r w:rsidR="00871ECD" w:rsidRPr="00DD1425">
              <w:rPr>
                <w:rFonts w:ascii="Arial" w:hAnsi="Arial" w:cs="Arial"/>
                <w:sz w:val="20"/>
                <w:szCs w:val="20"/>
              </w:rPr>
              <w:t>Уведомления об изменении условий ДБО Партнеров и/или Приложений к нему и/или иных документов, размещенных на Сайте, ссылки на которые содержатся в ДБО Партнеров и/или Приложениях и иные уведомления, направляются Партнеру одним из следующих способов по усмотрению Банка</w:t>
            </w:r>
            <w:r w:rsidRPr="00DD14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95CDB" w:rsidRPr="00DD1425" w14:paraId="21CA4563" w14:textId="77777777" w:rsidTr="00871ECD">
        <w:trPr>
          <w:trHeight w:val="460"/>
        </w:trPr>
        <w:tc>
          <w:tcPr>
            <w:tcW w:w="10880" w:type="dxa"/>
            <w:gridSpan w:val="2"/>
            <w:vAlign w:val="center"/>
          </w:tcPr>
          <w:p w14:paraId="33A02578" w14:textId="01E587E7" w:rsidR="00DD452E" w:rsidRPr="00DD1425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направление сообщения по адресу электронной почты Партнера, указанному в Заявлении на присоединении</w:t>
            </w:r>
            <w:r w:rsidR="00964B05" w:rsidRPr="00DD1425">
              <w:rPr>
                <w:rFonts w:ascii="Arial" w:hAnsi="Arial" w:cs="Arial"/>
                <w:sz w:val="20"/>
                <w:szCs w:val="20"/>
              </w:rPr>
              <w:t>;</w:t>
            </w:r>
            <w:r w:rsidR="00E8757A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5CDB" w:rsidRPr="00DD1425" w14:paraId="639D028E" w14:textId="77777777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14:paraId="67D4A3CE" w14:textId="3EB1B040" w:rsidR="00DD452E" w:rsidRPr="00DD1425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путем размещения информации в Личном кабинете</w:t>
            </w:r>
            <w:r w:rsidR="00964B05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2962B128" w14:textId="77777777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14:paraId="1977F0EF" w14:textId="3F73207A" w:rsidR="00DD452E" w:rsidRPr="00DD1425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размещения информации на Сайте</w:t>
            </w:r>
            <w:r w:rsidR="00964B05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225696ED" w14:textId="77777777" w:rsidTr="003A23FC">
        <w:trPr>
          <w:trHeight w:val="236"/>
        </w:trPr>
        <w:tc>
          <w:tcPr>
            <w:tcW w:w="10880" w:type="dxa"/>
            <w:gridSpan w:val="2"/>
            <w:vAlign w:val="center"/>
          </w:tcPr>
          <w:p w14:paraId="4A330513" w14:textId="33D2F7A4" w:rsidR="00DD452E" w:rsidRPr="00DD1425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размещения информации на стендах в отделениях Банка</w:t>
            </w:r>
            <w:r w:rsidR="00964B05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14:paraId="72312710" w14:textId="77777777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14:paraId="6EE8C096" w14:textId="4EFF50FE" w:rsidR="00DD452E" w:rsidRPr="00DD1425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иными доступными для Партнера Каналами связи</w:t>
            </w:r>
            <w:r w:rsidR="00E8757A"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95CDB" w:rsidRPr="00DD1425" w14:paraId="3F918D39" w14:textId="77777777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14:paraId="62B4724B" w14:textId="76FD36D5" w:rsidR="00DD452E" w:rsidRPr="00DD1425" w:rsidRDefault="002B2116" w:rsidP="00C12695">
            <w:pPr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Иные способы уведомления/изменения условий ДБО Партнеров могут быть предусмотрены соответствующим Приложением</w:t>
            </w:r>
            <w:r w:rsidR="00E8757A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25F4" w:rsidRPr="00DD1425" w14:paraId="126D2A48" w14:textId="77777777" w:rsidTr="002510CC">
        <w:trPr>
          <w:trHeight w:val="425"/>
        </w:trPr>
        <w:tc>
          <w:tcPr>
            <w:tcW w:w="10880" w:type="dxa"/>
            <w:gridSpan w:val="2"/>
          </w:tcPr>
          <w:p w14:paraId="1C62B958" w14:textId="4E075AB1" w:rsidR="003125F4" w:rsidRPr="00DD1425" w:rsidRDefault="003125F4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6.6. </w:t>
            </w:r>
            <w:r w:rsidR="0076745E" w:rsidRPr="00DD1425">
              <w:rPr>
                <w:rFonts w:ascii="Arial" w:hAnsi="Arial" w:cs="Arial"/>
                <w:sz w:val="20"/>
                <w:szCs w:val="20"/>
              </w:rPr>
              <w:t>Изменение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ДБО Партнеров</w:t>
            </w:r>
            <w:r w:rsidR="0040796B" w:rsidRPr="00DD1425">
              <w:rPr>
                <w:rFonts w:ascii="Arial" w:hAnsi="Arial" w:cs="Arial"/>
                <w:sz w:val="20"/>
                <w:szCs w:val="20"/>
              </w:rPr>
              <w:t>, Приложений</w:t>
            </w:r>
            <w:r w:rsidR="0076745E" w:rsidRPr="00DD1425">
              <w:rPr>
                <w:rFonts w:ascii="Arial" w:hAnsi="Arial" w:cs="Arial"/>
                <w:sz w:val="20"/>
                <w:szCs w:val="20"/>
              </w:rPr>
              <w:t xml:space="preserve"> в двухстороннем порядке может осуществляться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в письменном виде по соглашению Сторон </w:t>
            </w:r>
            <w:r w:rsidR="004C0707" w:rsidRPr="00DD1425">
              <w:rPr>
                <w:rFonts w:ascii="Arial" w:hAnsi="Arial" w:cs="Arial"/>
                <w:sz w:val="20"/>
                <w:szCs w:val="20"/>
              </w:rPr>
              <w:t xml:space="preserve">в т.ч. </w:t>
            </w:r>
            <w:r w:rsidR="0076745E" w:rsidRPr="00DD1425">
              <w:rPr>
                <w:rFonts w:ascii="Arial" w:hAnsi="Arial" w:cs="Arial"/>
                <w:sz w:val="20"/>
                <w:szCs w:val="20"/>
              </w:rPr>
              <w:t>одним из следующих способов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: совершение действий по смене Тарифного плана, предусмотренного настоящим ДБО Партнеров, подписание соответствующего соглашения, обмен письмами, телеграммами, телефонограммами,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телетайпограммами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, факсами, электронными документами, электронными сообщениями или иными документами, определяющими содержание волеизъявления сторон, или удостоверяется иными элементами защитных действий, предусмотренных законодательством, в частности путем ввода Кода подтверждения, ПИН-кода, осуществления действий по изменению и принятию новых условий ДБО Партнеров в Личном кабинете или электронном терминале, путем обмена сообщениями посредством </w:t>
            </w:r>
            <w:r w:rsidR="00494887" w:rsidRPr="00DD1425">
              <w:rPr>
                <w:rFonts w:ascii="Arial" w:hAnsi="Arial" w:cs="Arial"/>
                <w:sz w:val="20"/>
                <w:szCs w:val="20"/>
              </w:rPr>
              <w:t xml:space="preserve">одного из </w:t>
            </w:r>
            <w:r w:rsidRPr="00DD1425">
              <w:rPr>
                <w:rFonts w:ascii="Arial" w:hAnsi="Arial" w:cs="Arial"/>
                <w:sz w:val="20"/>
                <w:szCs w:val="20"/>
              </w:rPr>
              <w:t>Каналов связи</w:t>
            </w:r>
            <w:r w:rsidR="00494887" w:rsidRPr="00DD1425">
              <w:rPr>
                <w:rFonts w:ascii="Arial" w:hAnsi="Arial" w:cs="Arial"/>
                <w:sz w:val="20"/>
                <w:szCs w:val="20"/>
              </w:rPr>
              <w:t xml:space="preserve"> по усмотрению </w:t>
            </w:r>
            <w:r w:rsidRPr="00DD1425">
              <w:rPr>
                <w:rFonts w:ascii="Arial" w:hAnsi="Arial" w:cs="Arial"/>
                <w:sz w:val="20"/>
                <w:szCs w:val="20"/>
              </w:rPr>
              <w:t>Банк</w:t>
            </w:r>
            <w:r w:rsidR="00494887" w:rsidRPr="00DD1425">
              <w:rPr>
                <w:rFonts w:ascii="Arial" w:hAnsi="Arial" w:cs="Arial"/>
                <w:sz w:val="20"/>
                <w:szCs w:val="20"/>
              </w:rPr>
              <w:t>а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796B" w:rsidRPr="00DD1425">
              <w:rPr>
                <w:rFonts w:ascii="Arial" w:hAnsi="Arial" w:cs="Arial"/>
                <w:sz w:val="20"/>
                <w:szCs w:val="20"/>
              </w:rPr>
              <w:t xml:space="preserve">путем </w:t>
            </w:r>
            <w:r w:rsidRPr="00DD1425">
              <w:rPr>
                <w:rFonts w:ascii="Arial" w:hAnsi="Arial" w:cs="Arial"/>
                <w:sz w:val="20"/>
                <w:szCs w:val="20"/>
              </w:rPr>
              <w:t>уведомлени</w:t>
            </w:r>
            <w:r w:rsidR="0040796B" w:rsidRPr="00DD1425">
              <w:rPr>
                <w:rFonts w:ascii="Arial" w:hAnsi="Arial" w:cs="Arial"/>
                <w:sz w:val="20"/>
                <w:szCs w:val="20"/>
              </w:rPr>
              <w:t>я</w:t>
            </w:r>
            <w:r w:rsidR="00766C73" w:rsidRPr="00DD1425">
              <w:rPr>
                <w:rFonts w:ascii="Arial" w:hAnsi="Arial" w:cs="Arial"/>
                <w:sz w:val="20"/>
                <w:szCs w:val="20"/>
              </w:rPr>
              <w:t xml:space="preserve"> Банком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Партнера об изменениях</w:t>
            </w:r>
            <w:r w:rsidR="0040796B" w:rsidRPr="00DD1425">
              <w:rPr>
                <w:rFonts w:ascii="Arial" w:hAnsi="Arial" w:cs="Arial"/>
                <w:sz w:val="20"/>
                <w:szCs w:val="20"/>
              </w:rPr>
              <w:t xml:space="preserve">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за 5 календарных дней до внесения изменений, с направлением изменений/дополнений, измененных документов, Тарифов Банка, или документов в новой редакции любым из следующих способов по усмотрению Банка: нарочно, факсимильной связью, публикацией на Сайте или по иному Каналу связи</w:t>
            </w:r>
            <w:r w:rsidR="00451EE5" w:rsidRPr="00DD1425">
              <w:rPr>
                <w:rFonts w:ascii="Arial" w:hAnsi="Arial" w:cs="Arial"/>
                <w:sz w:val="20"/>
                <w:szCs w:val="20"/>
              </w:rPr>
              <w:t>,</w:t>
            </w:r>
            <w:r w:rsidR="001F07F1" w:rsidRPr="00DD1425">
              <w:rPr>
                <w:rFonts w:ascii="Arial" w:hAnsi="Arial" w:cs="Arial"/>
                <w:sz w:val="20"/>
                <w:szCs w:val="20"/>
              </w:rPr>
              <w:t xml:space="preserve"> если Партнер </w:t>
            </w:r>
            <w:r w:rsidR="00451EE5" w:rsidRPr="00DD1425">
              <w:rPr>
                <w:rFonts w:ascii="Arial" w:hAnsi="Arial" w:cs="Arial"/>
                <w:sz w:val="20"/>
                <w:szCs w:val="20"/>
              </w:rPr>
              <w:t xml:space="preserve">письменно </w:t>
            </w:r>
            <w:r w:rsidR="001F07F1" w:rsidRPr="00DD1425">
              <w:rPr>
                <w:rFonts w:ascii="Arial" w:hAnsi="Arial" w:cs="Arial"/>
                <w:sz w:val="20"/>
                <w:szCs w:val="20"/>
              </w:rPr>
              <w:t>не отказался от внесения изменений до даты вступления их в силу</w:t>
            </w:r>
            <w:r w:rsidRPr="00DD1425">
              <w:rPr>
                <w:rFonts w:ascii="Arial" w:hAnsi="Arial" w:cs="Arial"/>
                <w:sz w:val="20"/>
                <w:szCs w:val="20"/>
              </w:rPr>
              <w:t>. Иной способ внесения изменений в условия оказания Услуг может быть предусмотрен соответствующим Приложением к ДБО Партнеров.</w:t>
            </w:r>
          </w:p>
        </w:tc>
      </w:tr>
      <w:tr w:rsidR="00A61AF6" w:rsidRPr="00DD1425" w14:paraId="31592770" w14:textId="77777777" w:rsidTr="00E37BCB">
        <w:trPr>
          <w:trHeight w:val="725"/>
        </w:trPr>
        <w:tc>
          <w:tcPr>
            <w:tcW w:w="10880" w:type="dxa"/>
            <w:gridSpan w:val="2"/>
          </w:tcPr>
          <w:p w14:paraId="4DE3A5B6" w14:textId="093832B8" w:rsidR="00DD452E" w:rsidRPr="00DD1425" w:rsidRDefault="00F63C96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lastRenderedPageBreak/>
              <w:t>6.7.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 xml:space="preserve"> Если Партнер не согласен с изменениями</w:t>
            </w:r>
            <w:r w:rsidRPr="00DD1425">
              <w:rPr>
                <w:rFonts w:ascii="Arial" w:hAnsi="Arial" w:cs="Arial"/>
                <w:sz w:val="20"/>
                <w:szCs w:val="20"/>
              </w:rPr>
              <w:t>, действия ДБО Партнеров приостанавливаются в соответствующей части и становятся недоступным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или Партнер 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 xml:space="preserve">вправе отказаться от ДБО Партнеров, уведомив Банк  до вступления изменений в силу, в этом случае такие изменения не считаются внесенными и не применяются. Уведомление должно содержать отсканированную копию письма о расторжения Приложения, подписанного уполномоченным лицом Партнера и скрепленного его печатью (при наличии). В случае уведомления о расторжении в указанном порядке,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ДБО Партнеров 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>расторгается с даты вступления в силу изменений, внесенных Банком, при этом Партнер обязан исполнить все обязательства, возникшие по Приложению, но не исполненные, в том числе по оплате оказанных услуг</w:t>
            </w:r>
            <w:r w:rsidR="00F00878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14:paraId="0096D571" w14:textId="77777777" w:rsidTr="00E37BCB">
        <w:trPr>
          <w:trHeight w:val="488"/>
        </w:trPr>
        <w:tc>
          <w:tcPr>
            <w:tcW w:w="10880" w:type="dxa"/>
            <w:gridSpan w:val="2"/>
          </w:tcPr>
          <w:p w14:paraId="444AB1E1" w14:textId="5D478302" w:rsidR="00DD452E" w:rsidRPr="00DD1425" w:rsidRDefault="00E8757A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</w:t>
            </w:r>
            <w:r w:rsidR="003125F4" w:rsidRPr="00DD1425">
              <w:rPr>
                <w:rFonts w:ascii="Arial" w:hAnsi="Arial" w:cs="Arial"/>
                <w:sz w:val="20"/>
                <w:szCs w:val="20"/>
              </w:rPr>
              <w:t>8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B2116" w:rsidRPr="00DD1425">
              <w:rPr>
                <w:rFonts w:ascii="Arial" w:hAnsi="Arial" w:cs="Arial"/>
                <w:sz w:val="20"/>
                <w:szCs w:val="20"/>
              </w:rPr>
              <w:t>Если после вступления в силу изменений в ДБО Партнеров, внесенных Банком</w:t>
            </w:r>
            <w:r w:rsidR="00A16A19" w:rsidRPr="00DD1425">
              <w:rPr>
                <w:rFonts w:ascii="Arial" w:hAnsi="Arial" w:cs="Arial"/>
                <w:sz w:val="20"/>
                <w:szCs w:val="20"/>
              </w:rPr>
              <w:t>,</w:t>
            </w:r>
            <w:r w:rsidR="002B2116" w:rsidRPr="00DD1425">
              <w:rPr>
                <w:rFonts w:ascii="Arial" w:hAnsi="Arial" w:cs="Arial"/>
                <w:sz w:val="20"/>
                <w:szCs w:val="20"/>
              </w:rPr>
              <w:t xml:space="preserve"> Партнер продолжает пользоваться услугами Банка, считается, что Партнер принял все изменения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14:paraId="249EBAB9" w14:textId="77777777" w:rsidTr="00E37BCB">
        <w:trPr>
          <w:trHeight w:val="949"/>
        </w:trPr>
        <w:tc>
          <w:tcPr>
            <w:tcW w:w="10880" w:type="dxa"/>
            <w:gridSpan w:val="2"/>
          </w:tcPr>
          <w:p w14:paraId="570DF073" w14:textId="77777777" w:rsidR="001D1CCF" w:rsidRPr="00DD1425" w:rsidRDefault="00E8757A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6.9. 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В случае изменения наименования и реквизитов Партнера, указанных в Заявлении на присоединение, Партнер уведомляет Банк о таких изменениях путем обращения на адрес электронной почты Банка с предоставлением сканированных копий необходимых документов (при необходимости) либо в Отделение Банка. Банк уведомляет Партнера об изменении своих реквизитов путем размещения соответствующей информации на Сайте в течение 15 календарных дней с даты осуществления таких изменений. </w:t>
            </w:r>
          </w:p>
          <w:p w14:paraId="08A10739" w14:textId="4CCE3FD9" w:rsidR="00733990" w:rsidRPr="00DD1425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Изменение Пользователей, определенных в Личном кабинете, либо предоставленного им уровня доступа осуществляется уполномоченным лицом Партнера в Личном кабинете.</w:t>
            </w:r>
          </w:p>
        </w:tc>
      </w:tr>
      <w:tr w:rsidR="00295CDB" w:rsidRPr="00DD1425" w14:paraId="330360E1" w14:textId="77777777" w:rsidTr="00E37BCB">
        <w:trPr>
          <w:trHeight w:val="949"/>
        </w:trPr>
        <w:tc>
          <w:tcPr>
            <w:tcW w:w="10880" w:type="dxa"/>
            <w:gridSpan w:val="2"/>
          </w:tcPr>
          <w:p w14:paraId="786E1AB4" w14:textId="53C007A1" w:rsidR="00DD452E" w:rsidRPr="00DD1425" w:rsidRDefault="00E8757A" w:rsidP="00C12695">
            <w:pPr>
              <w:widowControl w:val="0"/>
              <w:tabs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6.10.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Стороны вправе расторгнуть ДБО Партнеров путем направления другой Стороне соответствующего уведомления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письменной или электронной форме (при наличии такой возможности)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не менее чем за 30 (тридцать) календарных дней до предполагаемой даты прекращения действия ДБО Партнеров</w:t>
            </w:r>
            <w:r w:rsidR="00A26E08" w:rsidRPr="00DD1425">
              <w:rPr>
                <w:rFonts w:ascii="Arial" w:hAnsi="Arial" w:cs="Arial"/>
                <w:sz w:val="20"/>
                <w:szCs w:val="20"/>
              </w:rPr>
              <w:t>, за исключением случаев, предусмотренных настоящим пунктом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 В случае наличия Карт Kaspi Business</w:t>
            </w:r>
            <w:r w:rsidR="005755BD" w:rsidRPr="00DD1425">
              <w:rPr>
                <w:rFonts w:ascii="Arial" w:hAnsi="Arial" w:cs="Arial"/>
                <w:sz w:val="20"/>
                <w:szCs w:val="20"/>
              </w:rPr>
              <w:t xml:space="preserve"> ДБО Партнеров расторгается в течени</w:t>
            </w:r>
            <w:r w:rsidR="00A26E08" w:rsidRPr="00DD1425">
              <w:rPr>
                <w:rFonts w:ascii="Arial" w:hAnsi="Arial" w:cs="Arial"/>
                <w:sz w:val="20"/>
                <w:szCs w:val="20"/>
              </w:rPr>
              <w:t>е</w:t>
            </w:r>
            <w:r w:rsidR="005755BD" w:rsidRPr="00DD1425">
              <w:rPr>
                <w:rFonts w:ascii="Arial" w:hAnsi="Arial" w:cs="Arial"/>
                <w:sz w:val="20"/>
                <w:szCs w:val="20"/>
              </w:rPr>
              <w:t xml:space="preserve"> 45 дней с даты направления </w:t>
            </w:r>
            <w:r w:rsidR="00A26E08" w:rsidRPr="00DD1425">
              <w:rPr>
                <w:rFonts w:ascii="Arial" w:hAnsi="Arial" w:cs="Arial"/>
                <w:sz w:val="20"/>
                <w:szCs w:val="20"/>
              </w:rPr>
              <w:t>Стороной уведомления о расторжении</w:t>
            </w:r>
            <w:r w:rsidR="005755BD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При этом ДБО Партнёров будет считаться расторгнутым только после выполнения Сторонами своих обязательств по ДБО Партнеров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, в том числе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проведения окончательного взаиморасчета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5F68" w:rsidRPr="00DD1425">
              <w:rPr>
                <w:rFonts w:ascii="Arial" w:hAnsi="Arial" w:cs="Arial"/>
                <w:sz w:val="20"/>
                <w:szCs w:val="20"/>
              </w:rPr>
              <w:t>оплаты всех комиссий, закрытия С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>чета/</w:t>
            </w:r>
            <w:proofErr w:type="spellStart"/>
            <w:r w:rsidR="004119C2" w:rsidRPr="00DD1425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 и/или Карт Kaspi Business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14:paraId="0F0618DB" w14:textId="77777777" w:rsidTr="00E37BCB">
        <w:trPr>
          <w:trHeight w:val="948"/>
        </w:trPr>
        <w:tc>
          <w:tcPr>
            <w:tcW w:w="10880" w:type="dxa"/>
            <w:gridSpan w:val="2"/>
          </w:tcPr>
          <w:p w14:paraId="23A86A63" w14:textId="112037B8" w:rsidR="00DD452E" w:rsidRPr="00DD1425" w:rsidRDefault="00E8757A" w:rsidP="00C12695">
            <w:pPr>
              <w:widowControl w:val="0"/>
              <w:tabs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6.11.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 xml:space="preserve">Партнер прекращает проведение Операций/Транзакций на Kaspi </w:t>
            </w:r>
            <w:r w:rsidR="00602E27" w:rsidRPr="00DD1425">
              <w:rPr>
                <w:rFonts w:ascii="Arial" w:hAnsi="Arial" w:cs="Arial"/>
                <w:sz w:val="20"/>
                <w:szCs w:val="20"/>
                <w:lang w:val="en-US"/>
              </w:rPr>
              <w:t>Business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 xml:space="preserve"> с даты направления уведомления о расторжении ДБО Партнеров. В случае совершения Операций Партнером в период с даты направления уведомления до даты расторжения ДБО Партнеров, уведомление считается отозванным Партнером и ДБО Партнеров продолжает свое действие по усмотрению Банка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14:paraId="71910006" w14:textId="77777777" w:rsidTr="00871ECD">
        <w:trPr>
          <w:trHeight w:val="410"/>
        </w:trPr>
        <w:tc>
          <w:tcPr>
            <w:tcW w:w="10880" w:type="dxa"/>
            <w:gridSpan w:val="2"/>
          </w:tcPr>
          <w:p w14:paraId="77F44892" w14:textId="60CA055F" w:rsidR="00DD452E" w:rsidRPr="00DD1425" w:rsidRDefault="00E8757A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6.12.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В случае закрытия всех Счетов в Банке ДБО Партнеров прекращает свое действие и считается расторгнутым, кроме случаев наличия у Сторон неисполненных обязательств по ДБО Партнера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14:paraId="0833BBD3" w14:textId="77777777" w:rsidTr="00871ECD">
        <w:trPr>
          <w:trHeight w:val="687"/>
        </w:trPr>
        <w:tc>
          <w:tcPr>
            <w:tcW w:w="10880" w:type="dxa"/>
            <w:gridSpan w:val="2"/>
            <w:vAlign w:val="bottom"/>
          </w:tcPr>
          <w:p w14:paraId="4DAD30BE" w14:textId="1A6008B7" w:rsidR="00DD452E" w:rsidRPr="00DD1425" w:rsidRDefault="00100107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  <w:tab w:val="left" w:pos="597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sz w:val="28"/>
                <w:szCs w:val="28"/>
              </w:rPr>
              <w:t>Заключительные положения</w:t>
            </w:r>
          </w:p>
        </w:tc>
      </w:tr>
      <w:tr w:rsidR="00295CDB" w:rsidRPr="00DD1425" w14:paraId="335DD3AC" w14:textId="77777777" w:rsidTr="00E37BCB">
        <w:trPr>
          <w:trHeight w:val="1004"/>
        </w:trPr>
        <w:tc>
          <w:tcPr>
            <w:tcW w:w="10880" w:type="dxa"/>
            <w:gridSpan w:val="2"/>
            <w:vAlign w:val="bottom"/>
          </w:tcPr>
          <w:p w14:paraId="3C2B220D" w14:textId="147ADC2F" w:rsidR="00DD452E" w:rsidRPr="00DD1425" w:rsidRDefault="00295CDB" w:rsidP="00C12695">
            <w:pPr>
              <w:widowControl w:val="0"/>
              <w:tabs>
                <w:tab w:val="left" w:pos="460"/>
                <w:tab w:val="left" w:pos="602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7.1. </w:t>
            </w:r>
            <w:r w:rsidR="00C55CBB" w:rsidRPr="00DD1425">
              <w:rPr>
                <w:rFonts w:ascii="Arial" w:hAnsi="Arial" w:cs="Arial"/>
                <w:sz w:val="20"/>
                <w:szCs w:val="20"/>
              </w:rPr>
              <w:t>Стороны согласны считать конфиденциальной информацию, которой они обмениваются в связи с исполнением ДБО Партнеров, и не разглашать ее без письменного разрешения другой Стороны, за исключением случаев согласно условиям ДБО Партнеров и когда предоставление такой информации является обязательным в соответствии с требованиями законодательства Республики Казахстан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B9361D" w14:textId="60DCF317" w:rsidR="001D1CCF" w:rsidRPr="00DD1425" w:rsidRDefault="001D1CCF" w:rsidP="00C12695">
            <w:pPr>
              <w:widowControl w:val="0"/>
              <w:tabs>
                <w:tab w:val="left" w:pos="742"/>
              </w:tabs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7.</w:t>
            </w:r>
            <w:r w:rsidR="002966CC" w:rsidRPr="00DD1425">
              <w:rPr>
                <w:rFonts w:ascii="Arial" w:hAnsi="Arial" w:cs="Arial"/>
                <w:sz w:val="20"/>
                <w:szCs w:val="20"/>
              </w:rPr>
              <w:t>2.</w:t>
            </w:r>
            <w:r w:rsidR="005F57F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Договор, Заявление и иные документы подписывается Руководителем Партнера или лицом, уполномоченным согласно требованиям законодательства (далее - Руководитель). Под Руководителем понимается физическое лицо Партнера, определенное уставом и/или назначенное решением участника/учредителя(ей) и/или имеющим полномочия в соответствии с надлежащим образом </w:t>
            </w:r>
            <w:r w:rsidR="009122D8" w:rsidRPr="00DD1425">
              <w:rPr>
                <w:rFonts w:ascii="Arial" w:hAnsi="Arial" w:cs="Arial"/>
                <w:sz w:val="20"/>
                <w:szCs w:val="20"/>
              </w:rPr>
              <w:t>оформленными документами Партнера,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предоставленными в Банк.</w:t>
            </w:r>
          </w:p>
        </w:tc>
      </w:tr>
      <w:tr w:rsidR="00295CDB" w:rsidRPr="00DD1425" w14:paraId="390E3B70" w14:textId="77777777" w:rsidTr="00E37BCB">
        <w:trPr>
          <w:trHeight w:val="949"/>
        </w:trPr>
        <w:tc>
          <w:tcPr>
            <w:tcW w:w="10880" w:type="dxa"/>
            <w:gridSpan w:val="2"/>
          </w:tcPr>
          <w:p w14:paraId="318E3EDC" w14:textId="1289391B" w:rsidR="00DD452E" w:rsidRPr="00DD1425" w:rsidRDefault="001D1CCF" w:rsidP="00C12695">
            <w:pPr>
              <w:widowControl w:val="0"/>
              <w:tabs>
                <w:tab w:val="left" w:pos="597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7.3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5CBB" w:rsidRPr="00DD1425">
              <w:rPr>
                <w:rFonts w:ascii="Arial" w:hAnsi="Arial" w:cs="Arial"/>
                <w:sz w:val="20"/>
                <w:szCs w:val="20"/>
              </w:rPr>
              <w:t>Банк при направлении уведомлений Партнеру в письменном виде на бумажном носителе указывает почтовый адрес Партнера согласно Заявлению на присоединение. Изменение почтового адреса Партнера сообщается Банку в письменном виде путем направления уведомления почтовой связью по адресу Банка, указанному в реквизитах ДБО Партнеров</w:t>
            </w:r>
            <w:r w:rsidR="00100107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14:paraId="2E67114F" w14:textId="77777777" w:rsidTr="00AF4EBF">
        <w:trPr>
          <w:trHeight w:val="525"/>
        </w:trPr>
        <w:tc>
          <w:tcPr>
            <w:tcW w:w="10880" w:type="dxa"/>
            <w:gridSpan w:val="2"/>
          </w:tcPr>
          <w:p w14:paraId="720B1665" w14:textId="4F4E9238" w:rsidR="00DD452E" w:rsidRPr="00DD1425" w:rsidRDefault="001D1CCF" w:rsidP="00C12695">
            <w:pPr>
              <w:widowControl w:val="0"/>
              <w:tabs>
                <w:tab w:val="left" w:pos="0"/>
                <w:tab w:val="left" w:pos="459"/>
                <w:tab w:val="left" w:pos="597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7.4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5CBB" w:rsidRPr="00DD1425">
              <w:rPr>
                <w:rFonts w:ascii="Arial" w:hAnsi="Arial" w:cs="Arial"/>
                <w:sz w:val="20"/>
                <w:szCs w:val="20"/>
              </w:rPr>
              <w:t>Уведомления Партнера в письменном виде в адрес Банка направляются Партнером по адресу, указанному в реквизитах ДБО Партнеров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14:paraId="52BE4849" w14:textId="77777777" w:rsidTr="00E37BCB">
        <w:trPr>
          <w:trHeight w:val="224"/>
        </w:trPr>
        <w:tc>
          <w:tcPr>
            <w:tcW w:w="10880" w:type="dxa"/>
            <w:gridSpan w:val="2"/>
          </w:tcPr>
          <w:p w14:paraId="430FDDD7" w14:textId="42719E02" w:rsidR="00DD452E" w:rsidRPr="00DD1425" w:rsidRDefault="00295CDB" w:rsidP="00C12695">
            <w:pPr>
              <w:widowControl w:val="0"/>
              <w:tabs>
                <w:tab w:val="left" w:pos="0"/>
                <w:tab w:val="left" w:pos="459"/>
                <w:tab w:val="left" w:pos="597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7</w:t>
            </w:r>
            <w:r w:rsidR="009122D8" w:rsidRPr="00DD1425">
              <w:rPr>
                <w:rFonts w:ascii="Arial" w:hAnsi="Arial" w:cs="Arial"/>
                <w:sz w:val="20"/>
                <w:szCs w:val="20"/>
              </w:rPr>
              <w:t>.5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5CBB" w:rsidRPr="00DD1425">
              <w:rPr>
                <w:rFonts w:ascii="Arial" w:hAnsi="Arial" w:cs="Arial"/>
                <w:bCs/>
                <w:sz w:val="20"/>
                <w:szCs w:val="20"/>
              </w:rPr>
              <w:t>ДБО Партнеров составлен на государственном и русском языках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14:paraId="577C860E" w14:textId="77777777" w:rsidTr="00871ECD">
        <w:trPr>
          <w:trHeight w:val="811"/>
        </w:trPr>
        <w:tc>
          <w:tcPr>
            <w:tcW w:w="10880" w:type="dxa"/>
            <w:gridSpan w:val="2"/>
            <w:vAlign w:val="bottom"/>
          </w:tcPr>
          <w:p w14:paraId="05EFB196" w14:textId="647AF663" w:rsidR="00C03658" w:rsidRPr="00DD1425" w:rsidRDefault="00386A75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9"/>
                <w:tab w:val="left" w:pos="597"/>
              </w:tabs>
              <w:ind w:left="202" w:firstLine="0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95CDB" w:rsidRPr="00DD1425">
              <w:rPr>
                <w:rFonts w:ascii="Arial" w:hAnsi="Arial" w:cs="Arial"/>
                <w:sz w:val="28"/>
                <w:szCs w:val="28"/>
              </w:rPr>
              <w:t>Реквизиты Банка</w:t>
            </w:r>
          </w:p>
        </w:tc>
      </w:tr>
      <w:tr w:rsidR="00295CDB" w:rsidRPr="00DD1425" w14:paraId="2D2035FE" w14:textId="77777777" w:rsidTr="0086346A">
        <w:trPr>
          <w:trHeight w:val="1661"/>
        </w:trPr>
        <w:tc>
          <w:tcPr>
            <w:tcW w:w="10880" w:type="dxa"/>
            <w:gridSpan w:val="2"/>
            <w:vAlign w:val="bottom"/>
          </w:tcPr>
          <w:p w14:paraId="4BE69676" w14:textId="2EB14DD8" w:rsidR="00940B7D" w:rsidRPr="00DD1425" w:rsidRDefault="00386A75" w:rsidP="00C12695">
            <w:pPr>
              <w:pStyle w:val="a5"/>
              <w:widowControl w:val="0"/>
              <w:numPr>
                <w:ilvl w:val="1"/>
                <w:numId w:val="32"/>
              </w:numPr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 w:firstLine="18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АО «Kaspi Bank», Республика Казахстан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D1DD6C7" w14:textId="5D028328" w:rsidR="00940B7D" w:rsidRPr="00DD1425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050013, г. Алматы, ул. Наурызбай Батыра, 154 «А»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1E08E56" w14:textId="49BAD1E0" w:rsidR="00940B7D" w:rsidRPr="00DD1425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к/счет № KZ69125KZT1001300249 в Национальном Банке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1" w:name="_GoBack"/>
            <w:bookmarkEnd w:id="1"/>
          </w:p>
          <w:p w14:paraId="282A4EFC" w14:textId="7F4B5BA8" w:rsidR="00940B7D" w:rsidRPr="00DD1425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БИК NBRK KZ KX, БИН 971240001315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5B6D8DA" w14:textId="1C82CC79" w:rsidR="00940B7D" w:rsidRPr="00DD1425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С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айт Банка </w:t>
            </w:r>
            <w:hyperlink r:id="rId11" w:history="1">
              <w:r w:rsidR="00940B7D" w:rsidRPr="00DD1425">
                <w:rPr>
                  <w:rStyle w:val="a4"/>
                  <w:rFonts w:ascii="Arial" w:hAnsi="Arial" w:cs="Arial"/>
                  <w:sz w:val="20"/>
                  <w:szCs w:val="20"/>
                </w:rPr>
                <w:t>www.kaspi.kz/</w:t>
              </w:r>
              <w:r w:rsidR="00940B7D" w:rsidRPr="00DD1425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business</w:t>
              </w:r>
            </w:hyperlink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7F16B3B" w14:textId="37492ECE" w:rsidR="00940B7D" w:rsidRPr="00DD1425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Э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лектронный адрес: </w:t>
            </w:r>
            <w:hyperlink r:id="rId12" w:history="1">
              <w:r w:rsidR="00295CDB" w:rsidRPr="00DD1425">
                <w:rPr>
                  <w:rFonts w:ascii="Arial" w:hAnsi="Arial" w:cs="Arial"/>
                  <w:color w:val="1F497D" w:themeColor="text2"/>
                  <w:sz w:val="20"/>
                  <w:szCs w:val="20"/>
                  <w:u w:val="single"/>
                </w:rPr>
                <w:t>business@kaspi.kz</w:t>
              </w:r>
            </w:hyperlink>
            <w:r w:rsidRPr="00DD1425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</w:rPr>
              <w:t>,</w:t>
            </w:r>
            <w:r w:rsidR="00295CDB" w:rsidRPr="00DD1425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  <w:p w14:paraId="14481A28" w14:textId="0A1480A7" w:rsidR="00C03658" w:rsidRPr="00DD1425" w:rsidRDefault="00940B7D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Call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2323</w:t>
            </w:r>
            <w:r w:rsidR="000B46FE" w:rsidRPr="00DD1425">
              <w:rPr>
                <w:rFonts w:ascii="Arial" w:hAnsi="Arial" w:cs="Arial"/>
                <w:sz w:val="20"/>
                <w:szCs w:val="20"/>
              </w:rPr>
              <w:t>,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режим работы с 9:00-23:00 часов (звонок c мобильного</w:t>
            </w:r>
            <w:r w:rsidR="0086346A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969" w:rsidRPr="00DD1425">
              <w:rPr>
                <w:rFonts w:ascii="Arial" w:hAnsi="Arial" w:cs="Arial"/>
                <w:sz w:val="20"/>
                <w:szCs w:val="20"/>
              </w:rPr>
              <w:t>по</w:t>
            </w:r>
            <w:r w:rsidR="0086346A" w:rsidRPr="00DD1425">
              <w:rPr>
                <w:rFonts w:ascii="Arial" w:hAnsi="Arial" w:cs="Arial"/>
                <w:sz w:val="20"/>
                <w:szCs w:val="20"/>
              </w:rPr>
              <w:t xml:space="preserve"> Казахстан</w:t>
            </w:r>
            <w:r w:rsidR="00F56969" w:rsidRPr="00DD1425">
              <w:rPr>
                <w:rFonts w:ascii="Arial" w:hAnsi="Arial" w:cs="Arial"/>
                <w:sz w:val="20"/>
                <w:szCs w:val="20"/>
              </w:rPr>
              <w:t>у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бесплатно</w:t>
            </w:r>
            <w:r w:rsidRPr="00DD1425">
              <w:rPr>
                <w:rFonts w:ascii="Arial" w:hAnsi="Arial" w:cs="Arial"/>
                <w:sz w:val="18"/>
                <w:szCs w:val="18"/>
              </w:rPr>
              <w:t>).</w:t>
            </w:r>
            <w:r w:rsidR="00561DB4" w:rsidRPr="00DD14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61DB4" w:rsidRPr="00DD1425" w14:paraId="1D24733C" w14:textId="77777777" w:rsidTr="002510CC">
        <w:trPr>
          <w:gridAfter w:val="1"/>
          <w:wAfter w:w="61" w:type="dxa"/>
          <w:trHeight w:val="80"/>
        </w:trPr>
        <w:tc>
          <w:tcPr>
            <w:tcW w:w="10819" w:type="dxa"/>
            <w:vAlign w:val="center"/>
          </w:tcPr>
          <w:p w14:paraId="003C1CAB" w14:textId="1A659799" w:rsidR="00561DB4" w:rsidRPr="00DD1425" w:rsidRDefault="00561DB4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1425">
              <w:rPr>
                <w:rFonts w:ascii="Arial" w:hAnsi="Arial" w:cs="Arial"/>
                <w:color w:val="000000" w:themeColor="text1"/>
                <w:sz w:val="20"/>
                <w:szCs w:val="20"/>
              </w:rPr>
              <w:t>* * *</w:t>
            </w:r>
          </w:p>
        </w:tc>
      </w:tr>
    </w:tbl>
    <w:p w14:paraId="1B49BD1D" w14:textId="77777777" w:rsidR="004D5428" w:rsidRPr="00B73256" w:rsidRDefault="004D5428" w:rsidP="00C12695">
      <w:pPr>
        <w:rPr>
          <w:rFonts w:ascii="Arial" w:hAnsi="Arial" w:cs="Arial"/>
        </w:rPr>
      </w:pPr>
    </w:p>
    <w:sectPr w:rsidR="004D5428" w:rsidRPr="00B73256" w:rsidSect="00C12695">
      <w:footerReference w:type="even" r:id="rId13"/>
      <w:footerReference w:type="default" r:id="rId14"/>
      <w:headerReference w:type="first" r:id="rId15"/>
      <w:pgSz w:w="11906" w:h="16838"/>
      <w:pgMar w:top="709" w:right="851" w:bottom="568" w:left="1701" w:header="3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33894" w14:textId="77777777" w:rsidR="009C40B7" w:rsidRDefault="009C40B7" w:rsidP="001E2D42">
      <w:r>
        <w:separator/>
      </w:r>
    </w:p>
  </w:endnote>
  <w:endnote w:type="continuationSeparator" w:id="0">
    <w:p w14:paraId="4E15BD7B" w14:textId="77777777" w:rsidR="009C40B7" w:rsidRDefault="009C40B7" w:rsidP="001E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2D9E" w14:textId="77777777" w:rsidR="00D17D5F" w:rsidRDefault="00D17D5F" w:rsidP="00D17D5F">
    <w:pPr>
      <w:pStyle w:val="af"/>
      <w:framePr w:wrap="none" w:vAnchor="text" w:hAnchor="margin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14:paraId="33E977E5" w14:textId="77777777" w:rsidR="00D17D5F" w:rsidRDefault="00D17D5F" w:rsidP="00D866D5">
    <w:pPr>
      <w:pStyle w:val="af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E302" w14:textId="10CD8D70" w:rsidR="00D17D5F" w:rsidRPr="00D866D5" w:rsidRDefault="00D17D5F" w:rsidP="00F253EF">
    <w:pPr>
      <w:pStyle w:val="af"/>
      <w:framePr w:w="253" w:h="265" w:hRule="exact" w:wrap="none" w:vAnchor="text" w:hAnchor="page" w:x="622" w:y="172"/>
      <w:rPr>
        <w:rStyle w:val="af5"/>
        <w:rFonts w:ascii="Arial" w:hAnsi="Arial" w:cs="Arial"/>
        <w:color w:val="000000" w:themeColor="text1"/>
        <w:sz w:val="14"/>
        <w:szCs w:val="14"/>
      </w:rPr>
    </w:pP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fldChar w:fldCharType="begin"/>
    </w: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instrText xml:space="preserve">PAGE  </w:instrText>
    </w: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fldChar w:fldCharType="separate"/>
    </w:r>
    <w:r w:rsidR="00B10D0C">
      <w:rPr>
        <w:rStyle w:val="af5"/>
        <w:rFonts w:ascii="Arial" w:hAnsi="Arial" w:cs="Arial"/>
        <w:noProof/>
        <w:color w:val="000000" w:themeColor="text1"/>
        <w:sz w:val="14"/>
        <w:szCs w:val="14"/>
      </w:rPr>
      <w:t>6</w:t>
    </w: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3925" w14:textId="77777777" w:rsidR="009C40B7" w:rsidRDefault="009C40B7" w:rsidP="001E2D42">
      <w:r>
        <w:separator/>
      </w:r>
    </w:p>
  </w:footnote>
  <w:footnote w:type="continuationSeparator" w:id="0">
    <w:p w14:paraId="68FB5350" w14:textId="77777777" w:rsidR="009C40B7" w:rsidRDefault="009C40B7" w:rsidP="001E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30C9" w14:textId="4B55F691" w:rsidR="00D17D5F" w:rsidRDefault="00D17D5F" w:rsidP="008F302A">
    <w:pPr>
      <w:pStyle w:val="ad"/>
    </w:pPr>
  </w:p>
  <w:p w14:paraId="60E54724" w14:textId="5FA32B46" w:rsidR="00D17D5F" w:rsidRDefault="00D17D5F" w:rsidP="008F302A">
    <w:pPr>
      <w:pStyle w:val="ad"/>
    </w:pPr>
  </w:p>
  <w:p w14:paraId="56E70BCA" w14:textId="11C0191D" w:rsidR="00D17D5F" w:rsidRPr="008F302A" w:rsidRDefault="005D4CAF" w:rsidP="008F302A">
    <w:pPr>
      <w:pStyle w:val="a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D6DF44" wp14:editId="00A89C4B">
          <wp:simplePos x="0" y="0"/>
          <wp:positionH relativeFrom="column">
            <wp:posOffset>-638175</wp:posOffset>
          </wp:positionH>
          <wp:positionV relativeFrom="paragraph">
            <wp:posOffset>325755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1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2B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D12975"/>
    <w:multiLevelType w:val="multilevel"/>
    <w:tmpl w:val="06983B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152CDA"/>
    <w:multiLevelType w:val="multilevel"/>
    <w:tmpl w:val="B26C6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90E0D6F"/>
    <w:multiLevelType w:val="multilevel"/>
    <w:tmpl w:val="2D2C3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9768F"/>
    <w:multiLevelType w:val="hybridMultilevel"/>
    <w:tmpl w:val="E8383832"/>
    <w:lvl w:ilvl="0" w:tplc="B89842D8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0C293F91"/>
    <w:multiLevelType w:val="multilevel"/>
    <w:tmpl w:val="99665FF2"/>
    <w:lvl w:ilvl="0">
      <w:start w:val="2"/>
      <w:numFmt w:val="decimal"/>
      <w:lvlText w:val="%1л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л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л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л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л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л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л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л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л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0CC756FC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093E6C"/>
    <w:multiLevelType w:val="multilevel"/>
    <w:tmpl w:val="F36AE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821D86"/>
    <w:multiLevelType w:val="hybridMultilevel"/>
    <w:tmpl w:val="96887320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9" w15:restartNumberingAfterBreak="0">
    <w:nsid w:val="2FCB4111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3B55173"/>
    <w:multiLevelType w:val="multilevel"/>
    <w:tmpl w:val="5D7A738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45B57A2"/>
    <w:multiLevelType w:val="multilevel"/>
    <w:tmpl w:val="F11A06D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36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" w:hanging="1080"/>
      </w:pPr>
      <w:rPr>
        <w:rFonts w:hint="default"/>
      </w:rPr>
    </w:lvl>
  </w:abstractNum>
  <w:abstractNum w:abstractNumId="12" w15:restartNumberingAfterBreak="0">
    <w:nsid w:val="36BC1A12"/>
    <w:multiLevelType w:val="multilevel"/>
    <w:tmpl w:val="C5083F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7671DB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3319BE"/>
    <w:multiLevelType w:val="multilevel"/>
    <w:tmpl w:val="32FA13B4"/>
    <w:lvl w:ilvl="0">
      <w:start w:val="4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5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5.1.1.1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5.1.1.1.1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5.1.1.1.1.1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5.1.1.1.1.1.1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5.1.1.1.1.1.1.1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5.1.1.1.1.1.1.1.1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5644EE"/>
    <w:multiLevelType w:val="multilevel"/>
    <w:tmpl w:val="615EDB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1D294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B206D7"/>
    <w:multiLevelType w:val="hybridMultilevel"/>
    <w:tmpl w:val="3F4CD1B0"/>
    <w:lvl w:ilvl="0" w:tplc="AE568DBA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4419A"/>
    <w:multiLevelType w:val="multilevel"/>
    <w:tmpl w:val="0F3A96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6F773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407628"/>
    <w:multiLevelType w:val="multilevel"/>
    <w:tmpl w:val="5F0237A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0" w:hanging="4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332BDE"/>
    <w:multiLevelType w:val="multilevel"/>
    <w:tmpl w:val="2D2C3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602B4B"/>
    <w:multiLevelType w:val="multilevel"/>
    <w:tmpl w:val="ADEE1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23" w15:restartNumberingAfterBreak="0">
    <w:nsid w:val="509D6E99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A3F69BB"/>
    <w:multiLevelType w:val="multilevel"/>
    <w:tmpl w:val="E3E8BE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5AC45137"/>
    <w:multiLevelType w:val="multilevel"/>
    <w:tmpl w:val="DE3412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26" w15:restartNumberingAfterBreak="0">
    <w:nsid w:val="636564C7"/>
    <w:multiLevelType w:val="multilevel"/>
    <w:tmpl w:val="F8F2F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440"/>
      </w:pPr>
      <w:rPr>
        <w:rFonts w:hint="default"/>
      </w:rPr>
    </w:lvl>
  </w:abstractNum>
  <w:abstractNum w:abstractNumId="27" w15:restartNumberingAfterBreak="0">
    <w:nsid w:val="6CDD2AD3"/>
    <w:multiLevelType w:val="hybridMultilevel"/>
    <w:tmpl w:val="877C2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85D94"/>
    <w:multiLevelType w:val="multilevel"/>
    <w:tmpl w:val="F44C93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0280EBB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48D117E"/>
    <w:multiLevelType w:val="multilevel"/>
    <w:tmpl w:val="5D10A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8552E2B"/>
    <w:multiLevelType w:val="multilevel"/>
    <w:tmpl w:val="D8E8BB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335604"/>
    <w:multiLevelType w:val="multilevel"/>
    <w:tmpl w:val="F3AED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1"/>
  </w:num>
  <w:num w:numId="5">
    <w:abstractNumId w:val="30"/>
  </w:num>
  <w:num w:numId="6">
    <w:abstractNumId w:val="14"/>
  </w:num>
  <w:num w:numId="7">
    <w:abstractNumId w:val="15"/>
  </w:num>
  <w:num w:numId="8">
    <w:abstractNumId w:val="10"/>
  </w:num>
  <w:num w:numId="9">
    <w:abstractNumId w:val="0"/>
  </w:num>
  <w:num w:numId="10">
    <w:abstractNumId w:val="32"/>
  </w:num>
  <w:num w:numId="11">
    <w:abstractNumId w:val="23"/>
  </w:num>
  <w:num w:numId="12">
    <w:abstractNumId w:val="20"/>
  </w:num>
  <w:num w:numId="13">
    <w:abstractNumId w:val="26"/>
  </w:num>
  <w:num w:numId="14">
    <w:abstractNumId w:val="7"/>
  </w:num>
  <w:num w:numId="15">
    <w:abstractNumId w:val="31"/>
  </w:num>
  <w:num w:numId="16">
    <w:abstractNumId w:val="25"/>
  </w:num>
  <w:num w:numId="17">
    <w:abstractNumId w:val="19"/>
  </w:num>
  <w:num w:numId="18">
    <w:abstractNumId w:val="5"/>
  </w:num>
  <w:num w:numId="19">
    <w:abstractNumId w:val="13"/>
  </w:num>
  <w:num w:numId="20">
    <w:abstractNumId w:val="6"/>
  </w:num>
  <w:num w:numId="21">
    <w:abstractNumId w:val="16"/>
  </w:num>
  <w:num w:numId="22">
    <w:abstractNumId w:val="9"/>
  </w:num>
  <w:num w:numId="23">
    <w:abstractNumId w:val="29"/>
  </w:num>
  <w:num w:numId="24">
    <w:abstractNumId w:val="17"/>
  </w:num>
  <w:num w:numId="25">
    <w:abstractNumId w:val="4"/>
  </w:num>
  <w:num w:numId="26">
    <w:abstractNumId w:val="27"/>
  </w:num>
  <w:num w:numId="27">
    <w:abstractNumId w:val="12"/>
  </w:num>
  <w:num w:numId="28">
    <w:abstractNumId w:val="22"/>
  </w:num>
  <w:num w:numId="29">
    <w:abstractNumId w:val="2"/>
  </w:num>
  <w:num w:numId="30">
    <w:abstractNumId w:val="18"/>
  </w:num>
  <w:num w:numId="31">
    <w:abstractNumId w:val="24"/>
  </w:num>
  <w:num w:numId="32">
    <w:abstractNumId w:val="28"/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4E"/>
    <w:rsid w:val="00001E65"/>
    <w:rsid w:val="0000356E"/>
    <w:rsid w:val="000100A6"/>
    <w:rsid w:val="00011349"/>
    <w:rsid w:val="000135A5"/>
    <w:rsid w:val="00013DA1"/>
    <w:rsid w:val="000143B6"/>
    <w:rsid w:val="00015ADB"/>
    <w:rsid w:val="000162FE"/>
    <w:rsid w:val="000173EC"/>
    <w:rsid w:val="0001798D"/>
    <w:rsid w:val="00017A22"/>
    <w:rsid w:val="00030B8A"/>
    <w:rsid w:val="0003170F"/>
    <w:rsid w:val="00041503"/>
    <w:rsid w:val="00050131"/>
    <w:rsid w:val="00053617"/>
    <w:rsid w:val="00055145"/>
    <w:rsid w:val="00061877"/>
    <w:rsid w:val="000640A4"/>
    <w:rsid w:val="0006784E"/>
    <w:rsid w:val="0007149A"/>
    <w:rsid w:val="0007235E"/>
    <w:rsid w:val="0007479D"/>
    <w:rsid w:val="00074A3F"/>
    <w:rsid w:val="00080211"/>
    <w:rsid w:val="0009245B"/>
    <w:rsid w:val="00092894"/>
    <w:rsid w:val="000A0E13"/>
    <w:rsid w:val="000A1161"/>
    <w:rsid w:val="000A26C1"/>
    <w:rsid w:val="000B0E45"/>
    <w:rsid w:val="000B12C5"/>
    <w:rsid w:val="000B1316"/>
    <w:rsid w:val="000B29BF"/>
    <w:rsid w:val="000B3AA2"/>
    <w:rsid w:val="000B46FE"/>
    <w:rsid w:val="000B4C88"/>
    <w:rsid w:val="000B67FC"/>
    <w:rsid w:val="000C2584"/>
    <w:rsid w:val="000C4893"/>
    <w:rsid w:val="000D083C"/>
    <w:rsid w:val="000D137E"/>
    <w:rsid w:val="000D18A2"/>
    <w:rsid w:val="000E0B00"/>
    <w:rsid w:val="000E199A"/>
    <w:rsid w:val="000E47A3"/>
    <w:rsid w:val="000E7164"/>
    <w:rsid w:val="000E7C81"/>
    <w:rsid w:val="000F418C"/>
    <w:rsid w:val="000F461B"/>
    <w:rsid w:val="000F5858"/>
    <w:rsid w:val="000F693A"/>
    <w:rsid w:val="000F76F0"/>
    <w:rsid w:val="00100107"/>
    <w:rsid w:val="0010189B"/>
    <w:rsid w:val="00104486"/>
    <w:rsid w:val="00106EF1"/>
    <w:rsid w:val="00110B04"/>
    <w:rsid w:val="001144A3"/>
    <w:rsid w:val="00124CAD"/>
    <w:rsid w:val="0013045D"/>
    <w:rsid w:val="001324C6"/>
    <w:rsid w:val="0013298A"/>
    <w:rsid w:val="001346AC"/>
    <w:rsid w:val="001347E9"/>
    <w:rsid w:val="001443C2"/>
    <w:rsid w:val="00144C71"/>
    <w:rsid w:val="00151AFB"/>
    <w:rsid w:val="0015463A"/>
    <w:rsid w:val="00162DFD"/>
    <w:rsid w:val="00164FF3"/>
    <w:rsid w:val="00166E91"/>
    <w:rsid w:val="00184EE0"/>
    <w:rsid w:val="0018629C"/>
    <w:rsid w:val="00191A44"/>
    <w:rsid w:val="001A325C"/>
    <w:rsid w:val="001A745F"/>
    <w:rsid w:val="001B13A6"/>
    <w:rsid w:val="001B4EB6"/>
    <w:rsid w:val="001B5451"/>
    <w:rsid w:val="001B67DC"/>
    <w:rsid w:val="001C13E3"/>
    <w:rsid w:val="001C1816"/>
    <w:rsid w:val="001C6D1D"/>
    <w:rsid w:val="001D1582"/>
    <w:rsid w:val="001D1CCF"/>
    <w:rsid w:val="001D2573"/>
    <w:rsid w:val="001D63C2"/>
    <w:rsid w:val="001D70D6"/>
    <w:rsid w:val="001E2D42"/>
    <w:rsid w:val="001F07F1"/>
    <w:rsid w:val="001F345C"/>
    <w:rsid w:val="001F399D"/>
    <w:rsid w:val="001F6CB7"/>
    <w:rsid w:val="00200FC0"/>
    <w:rsid w:val="002049AA"/>
    <w:rsid w:val="00210FE5"/>
    <w:rsid w:val="00212732"/>
    <w:rsid w:val="00214399"/>
    <w:rsid w:val="00214A35"/>
    <w:rsid w:val="00220E7F"/>
    <w:rsid w:val="00221EBB"/>
    <w:rsid w:val="002318BB"/>
    <w:rsid w:val="00240748"/>
    <w:rsid w:val="002409DF"/>
    <w:rsid w:val="00241472"/>
    <w:rsid w:val="002510CC"/>
    <w:rsid w:val="0025327D"/>
    <w:rsid w:val="0025374C"/>
    <w:rsid w:val="002564B4"/>
    <w:rsid w:val="00263F0A"/>
    <w:rsid w:val="00266AB5"/>
    <w:rsid w:val="00270040"/>
    <w:rsid w:val="00271E43"/>
    <w:rsid w:val="002723DD"/>
    <w:rsid w:val="00272454"/>
    <w:rsid w:val="002732FD"/>
    <w:rsid w:val="0027345C"/>
    <w:rsid w:val="00282080"/>
    <w:rsid w:val="00284543"/>
    <w:rsid w:val="00285881"/>
    <w:rsid w:val="00286133"/>
    <w:rsid w:val="0028768C"/>
    <w:rsid w:val="00295CDB"/>
    <w:rsid w:val="002966CC"/>
    <w:rsid w:val="00297D1D"/>
    <w:rsid w:val="002A01D1"/>
    <w:rsid w:val="002A2CD5"/>
    <w:rsid w:val="002B03E8"/>
    <w:rsid w:val="002B1151"/>
    <w:rsid w:val="002B1422"/>
    <w:rsid w:val="002B2116"/>
    <w:rsid w:val="002B61E3"/>
    <w:rsid w:val="002B774A"/>
    <w:rsid w:val="002C5075"/>
    <w:rsid w:val="002C5488"/>
    <w:rsid w:val="002D2EAB"/>
    <w:rsid w:val="002D5518"/>
    <w:rsid w:val="002D64D7"/>
    <w:rsid w:val="002D7912"/>
    <w:rsid w:val="002E2753"/>
    <w:rsid w:val="002E3B27"/>
    <w:rsid w:val="002E44E2"/>
    <w:rsid w:val="002E5B88"/>
    <w:rsid w:val="002F047C"/>
    <w:rsid w:val="002F2D41"/>
    <w:rsid w:val="002F390F"/>
    <w:rsid w:val="002F722F"/>
    <w:rsid w:val="002F7B96"/>
    <w:rsid w:val="002F7CCB"/>
    <w:rsid w:val="002F7D30"/>
    <w:rsid w:val="00300004"/>
    <w:rsid w:val="003052F3"/>
    <w:rsid w:val="003103A3"/>
    <w:rsid w:val="00310A4D"/>
    <w:rsid w:val="003125F4"/>
    <w:rsid w:val="00321223"/>
    <w:rsid w:val="003227A2"/>
    <w:rsid w:val="00323334"/>
    <w:rsid w:val="00331751"/>
    <w:rsid w:val="003377A5"/>
    <w:rsid w:val="00342387"/>
    <w:rsid w:val="00346DEC"/>
    <w:rsid w:val="0035385C"/>
    <w:rsid w:val="00355662"/>
    <w:rsid w:val="00357B68"/>
    <w:rsid w:val="003619F7"/>
    <w:rsid w:val="00361E7E"/>
    <w:rsid w:val="00375BAE"/>
    <w:rsid w:val="00385D21"/>
    <w:rsid w:val="00386A75"/>
    <w:rsid w:val="00387F76"/>
    <w:rsid w:val="00391947"/>
    <w:rsid w:val="003925F8"/>
    <w:rsid w:val="0039380F"/>
    <w:rsid w:val="00394295"/>
    <w:rsid w:val="00394FD3"/>
    <w:rsid w:val="00395C43"/>
    <w:rsid w:val="003971EA"/>
    <w:rsid w:val="0039777D"/>
    <w:rsid w:val="003A23FC"/>
    <w:rsid w:val="003A47C9"/>
    <w:rsid w:val="003A5C45"/>
    <w:rsid w:val="003A66DB"/>
    <w:rsid w:val="003A6808"/>
    <w:rsid w:val="003A7D93"/>
    <w:rsid w:val="003B0A64"/>
    <w:rsid w:val="003B3F3B"/>
    <w:rsid w:val="003B4396"/>
    <w:rsid w:val="003B4DC5"/>
    <w:rsid w:val="003C7A28"/>
    <w:rsid w:val="003D2189"/>
    <w:rsid w:val="003D55EE"/>
    <w:rsid w:val="003D78FB"/>
    <w:rsid w:val="003E12F1"/>
    <w:rsid w:val="003E2AFD"/>
    <w:rsid w:val="003E4BF0"/>
    <w:rsid w:val="003F1775"/>
    <w:rsid w:val="003F50F7"/>
    <w:rsid w:val="00402950"/>
    <w:rsid w:val="00404975"/>
    <w:rsid w:val="00405185"/>
    <w:rsid w:val="0040796B"/>
    <w:rsid w:val="004103A3"/>
    <w:rsid w:val="004119C2"/>
    <w:rsid w:val="004146C1"/>
    <w:rsid w:val="00414DFE"/>
    <w:rsid w:val="00416887"/>
    <w:rsid w:val="004175D6"/>
    <w:rsid w:val="0042085C"/>
    <w:rsid w:val="004263FA"/>
    <w:rsid w:val="004270BD"/>
    <w:rsid w:val="00430D96"/>
    <w:rsid w:val="00430F39"/>
    <w:rsid w:val="00431E37"/>
    <w:rsid w:val="004362EC"/>
    <w:rsid w:val="00436FD4"/>
    <w:rsid w:val="0044107F"/>
    <w:rsid w:val="00443FDE"/>
    <w:rsid w:val="00445B14"/>
    <w:rsid w:val="00451EE5"/>
    <w:rsid w:val="00460B22"/>
    <w:rsid w:val="0046779F"/>
    <w:rsid w:val="00475857"/>
    <w:rsid w:val="004766AC"/>
    <w:rsid w:val="00482271"/>
    <w:rsid w:val="00493766"/>
    <w:rsid w:val="00494887"/>
    <w:rsid w:val="004A2314"/>
    <w:rsid w:val="004A7958"/>
    <w:rsid w:val="004B2149"/>
    <w:rsid w:val="004C0707"/>
    <w:rsid w:val="004C23E1"/>
    <w:rsid w:val="004C2712"/>
    <w:rsid w:val="004D0555"/>
    <w:rsid w:val="004D0D88"/>
    <w:rsid w:val="004D3F90"/>
    <w:rsid w:val="004D5428"/>
    <w:rsid w:val="004D56EC"/>
    <w:rsid w:val="004E0429"/>
    <w:rsid w:val="004E1E19"/>
    <w:rsid w:val="004E5102"/>
    <w:rsid w:val="004F2F4D"/>
    <w:rsid w:val="004F756C"/>
    <w:rsid w:val="00503198"/>
    <w:rsid w:val="00511808"/>
    <w:rsid w:val="00511F00"/>
    <w:rsid w:val="00512643"/>
    <w:rsid w:val="00521CB3"/>
    <w:rsid w:val="005262B4"/>
    <w:rsid w:val="00532698"/>
    <w:rsid w:val="00536270"/>
    <w:rsid w:val="00542CA3"/>
    <w:rsid w:val="0054762E"/>
    <w:rsid w:val="00557B3C"/>
    <w:rsid w:val="00557BA6"/>
    <w:rsid w:val="00561DB4"/>
    <w:rsid w:val="0057354E"/>
    <w:rsid w:val="005755BD"/>
    <w:rsid w:val="005773A3"/>
    <w:rsid w:val="00587904"/>
    <w:rsid w:val="00590B91"/>
    <w:rsid w:val="005911D5"/>
    <w:rsid w:val="00592A17"/>
    <w:rsid w:val="005935D5"/>
    <w:rsid w:val="00593D85"/>
    <w:rsid w:val="00594924"/>
    <w:rsid w:val="005A0BFD"/>
    <w:rsid w:val="005A0FA6"/>
    <w:rsid w:val="005A775C"/>
    <w:rsid w:val="005B1577"/>
    <w:rsid w:val="005B6F7B"/>
    <w:rsid w:val="005C3D7D"/>
    <w:rsid w:val="005D4CAF"/>
    <w:rsid w:val="005E02D6"/>
    <w:rsid w:val="005E594E"/>
    <w:rsid w:val="005E5BD1"/>
    <w:rsid w:val="005F5514"/>
    <w:rsid w:val="005F57FF"/>
    <w:rsid w:val="005F7AE4"/>
    <w:rsid w:val="00602E27"/>
    <w:rsid w:val="006052F7"/>
    <w:rsid w:val="00611B79"/>
    <w:rsid w:val="00617262"/>
    <w:rsid w:val="00627C5A"/>
    <w:rsid w:val="0063753D"/>
    <w:rsid w:val="006428E3"/>
    <w:rsid w:val="006472B0"/>
    <w:rsid w:val="00655B61"/>
    <w:rsid w:val="006626BA"/>
    <w:rsid w:val="00665402"/>
    <w:rsid w:val="006720BF"/>
    <w:rsid w:val="006777B4"/>
    <w:rsid w:val="00677ABE"/>
    <w:rsid w:val="00677C42"/>
    <w:rsid w:val="00682C80"/>
    <w:rsid w:val="00683796"/>
    <w:rsid w:val="006965ED"/>
    <w:rsid w:val="006A27A5"/>
    <w:rsid w:val="006A57D8"/>
    <w:rsid w:val="006A6D06"/>
    <w:rsid w:val="006B0175"/>
    <w:rsid w:val="006B2052"/>
    <w:rsid w:val="006B5BB0"/>
    <w:rsid w:val="006B7464"/>
    <w:rsid w:val="006B7A3D"/>
    <w:rsid w:val="006B7A9A"/>
    <w:rsid w:val="006D4E02"/>
    <w:rsid w:val="006D6603"/>
    <w:rsid w:val="006F2BFD"/>
    <w:rsid w:val="006F3FA2"/>
    <w:rsid w:val="006F7103"/>
    <w:rsid w:val="00700241"/>
    <w:rsid w:val="007003C8"/>
    <w:rsid w:val="00702B0A"/>
    <w:rsid w:val="00712F5D"/>
    <w:rsid w:val="00724473"/>
    <w:rsid w:val="00725D13"/>
    <w:rsid w:val="0072732C"/>
    <w:rsid w:val="00731D98"/>
    <w:rsid w:val="007322B5"/>
    <w:rsid w:val="00733319"/>
    <w:rsid w:val="00733990"/>
    <w:rsid w:val="00735FF1"/>
    <w:rsid w:val="0073792B"/>
    <w:rsid w:val="00737E4C"/>
    <w:rsid w:val="00740C8D"/>
    <w:rsid w:val="00741254"/>
    <w:rsid w:val="00753AD7"/>
    <w:rsid w:val="00760EAF"/>
    <w:rsid w:val="00761E1C"/>
    <w:rsid w:val="00766C73"/>
    <w:rsid w:val="0076745E"/>
    <w:rsid w:val="00770914"/>
    <w:rsid w:val="00770C14"/>
    <w:rsid w:val="00794A35"/>
    <w:rsid w:val="007960F7"/>
    <w:rsid w:val="00796FE6"/>
    <w:rsid w:val="007A4346"/>
    <w:rsid w:val="007A7754"/>
    <w:rsid w:val="007B5B2E"/>
    <w:rsid w:val="007B65EB"/>
    <w:rsid w:val="007B6E37"/>
    <w:rsid w:val="007C098A"/>
    <w:rsid w:val="007C2659"/>
    <w:rsid w:val="007D18FF"/>
    <w:rsid w:val="007D21D8"/>
    <w:rsid w:val="007D299C"/>
    <w:rsid w:val="007E1C98"/>
    <w:rsid w:val="007E7D6B"/>
    <w:rsid w:val="007F0EBB"/>
    <w:rsid w:val="007F3900"/>
    <w:rsid w:val="007F5555"/>
    <w:rsid w:val="007F5913"/>
    <w:rsid w:val="007F7A74"/>
    <w:rsid w:val="008103C3"/>
    <w:rsid w:val="00811DEA"/>
    <w:rsid w:val="00821F4B"/>
    <w:rsid w:val="008349BF"/>
    <w:rsid w:val="00836ED1"/>
    <w:rsid w:val="0084129C"/>
    <w:rsid w:val="00842CF3"/>
    <w:rsid w:val="0085226C"/>
    <w:rsid w:val="00852BDB"/>
    <w:rsid w:val="00853940"/>
    <w:rsid w:val="00862FFE"/>
    <w:rsid w:val="0086346A"/>
    <w:rsid w:val="00865145"/>
    <w:rsid w:val="00867462"/>
    <w:rsid w:val="00871ECD"/>
    <w:rsid w:val="00876E1D"/>
    <w:rsid w:val="00880F1A"/>
    <w:rsid w:val="00885FC5"/>
    <w:rsid w:val="008927E2"/>
    <w:rsid w:val="008A1316"/>
    <w:rsid w:val="008A424D"/>
    <w:rsid w:val="008A697E"/>
    <w:rsid w:val="008B11F0"/>
    <w:rsid w:val="008B211D"/>
    <w:rsid w:val="008B211F"/>
    <w:rsid w:val="008B66BC"/>
    <w:rsid w:val="008B71B9"/>
    <w:rsid w:val="008C00E7"/>
    <w:rsid w:val="008C1D21"/>
    <w:rsid w:val="008D043B"/>
    <w:rsid w:val="008D1E5D"/>
    <w:rsid w:val="008D1FD4"/>
    <w:rsid w:val="008E0217"/>
    <w:rsid w:val="008E0C44"/>
    <w:rsid w:val="008E3F6B"/>
    <w:rsid w:val="008E6040"/>
    <w:rsid w:val="008E7406"/>
    <w:rsid w:val="008F15D1"/>
    <w:rsid w:val="008F2C0A"/>
    <w:rsid w:val="008F2D57"/>
    <w:rsid w:val="008F302A"/>
    <w:rsid w:val="008F7E53"/>
    <w:rsid w:val="00901750"/>
    <w:rsid w:val="00902A2E"/>
    <w:rsid w:val="00905FC6"/>
    <w:rsid w:val="00907C3B"/>
    <w:rsid w:val="009122D8"/>
    <w:rsid w:val="00913FC5"/>
    <w:rsid w:val="00914BB0"/>
    <w:rsid w:val="009158A2"/>
    <w:rsid w:val="0091654C"/>
    <w:rsid w:val="00917DAD"/>
    <w:rsid w:val="00925992"/>
    <w:rsid w:val="00925A69"/>
    <w:rsid w:val="00934391"/>
    <w:rsid w:val="0093599A"/>
    <w:rsid w:val="00936581"/>
    <w:rsid w:val="009377B1"/>
    <w:rsid w:val="00940B7D"/>
    <w:rsid w:val="009415E2"/>
    <w:rsid w:val="0094200F"/>
    <w:rsid w:val="00954B49"/>
    <w:rsid w:val="00956966"/>
    <w:rsid w:val="00964B05"/>
    <w:rsid w:val="0096607E"/>
    <w:rsid w:val="00977E71"/>
    <w:rsid w:val="00981E92"/>
    <w:rsid w:val="00982B71"/>
    <w:rsid w:val="00985BFA"/>
    <w:rsid w:val="00987595"/>
    <w:rsid w:val="0099010E"/>
    <w:rsid w:val="00992D37"/>
    <w:rsid w:val="009A4A6B"/>
    <w:rsid w:val="009B06B8"/>
    <w:rsid w:val="009B2C2F"/>
    <w:rsid w:val="009C098C"/>
    <w:rsid w:val="009C177C"/>
    <w:rsid w:val="009C3137"/>
    <w:rsid w:val="009C40B7"/>
    <w:rsid w:val="009C57B5"/>
    <w:rsid w:val="009D1472"/>
    <w:rsid w:val="009D44AC"/>
    <w:rsid w:val="009D48B5"/>
    <w:rsid w:val="009D56DF"/>
    <w:rsid w:val="009D5D2A"/>
    <w:rsid w:val="009F12FC"/>
    <w:rsid w:val="009F2761"/>
    <w:rsid w:val="009F3BC2"/>
    <w:rsid w:val="009F46D2"/>
    <w:rsid w:val="009F5D3F"/>
    <w:rsid w:val="009F67F1"/>
    <w:rsid w:val="00A010CA"/>
    <w:rsid w:val="00A026CF"/>
    <w:rsid w:val="00A04A4B"/>
    <w:rsid w:val="00A064DB"/>
    <w:rsid w:val="00A107EB"/>
    <w:rsid w:val="00A160B5"/>
    <w:rsid w:val="00A16A19"/>
    <w:rsid w:val="00A2355C"/>
    <w:rsid w:val="00A26E08"/>
    <w:rsid w:val="00A30D59"/>
    <w:rsid w:val="00A35F7B"/>
    <w:rsid w:val="00A4445F"/>
    <w:rsid w:val="00A44786"/>
    <w:rsid w:val="00A45A32"/>
    <w:rsid w:val="00A46B14"/>
    <w:rsid w:val="00A52204"/>
    <w:rsid w:val="00A5325B"/>
    <w:rsid w:val="00A5394E"/>
    <w:rsid w:val="00A53C22"/>
    <w:rsid w:val="00A5462A"/>
    <w:rsid w:val="00A56BCF"/>
    <w:rsid w:val="00A60811"/>
    <w:rsid w:val="00A61AF6"/>
    <w:rsid w:val="00A6453C"/>
    <w:rsid w:val="00A652FA"/>
    <w:rsid w:val="00A67582"/>
    <w:rsid w:val="00A70100"/>
    <w:rsid w:val="00A75738"/>
    <w:rsid w:val="00A7716B"/>
    <w:rsid w:val="00A82F01"/>
    <w:rsid w:val="00A86CD5"/>
    <w:rsid w:val="00A87908"/>
    <w:rsid w:val="00A87FAF"/>
    <w:rsid w:val="00A932E2"/>
    <w:rsid w:val="00A96736"/>
    <w:rsid w:val="00AA6CE1"/>
    <w:rsid w:val="00AB215E"/>
    <w:rsid w:val="00AD070F"/>
    <w:rsid w:val="00AD0910"/>
    <w:rsid w:val="00AD216A"/>
    <w:rsid w:val="00AD443E"/>
    <w:rsid w:val="00AD4537"/>
    <w:rsid w:val="00AE16B0"/>
    <w:rsid w:val="00AE31B5"/>
    <w:rsid w:val="00AE47A9"/>
    <w:rsid w:val="00AF02D1"/>
    <w:rsid w:val="00AF1F95"/>
    <w:rsid w:val="00AF327F"/>
    <w:rsid w:val="00AF44DE"/>
    <w:rsid w:val="00AF4EBF"/>
    <w:rsid w:val="00AF5F90"/>
    <w:rsid w:val="00AF66D1"/>
    <w:rsid w:val="00B0033F"/>
    <w:rsid w:val="00B01311"/>
    <w:rsid w:val="00B0586F"/>
    <w:rsid w:val="00B06803"/>
    <w:rsid w:val="00B10B10"/>
    <w:rsid w:val="00B10D0C"/>
    <w:rsid w:val="00B11919"/>
    <w:rsid w:val="00B155FB"/>
    <w:rsid w:val="00B17C26"/>
    <w:rsid w:val="00B2210E"/>
    <w:rsid w:val="00B2257E"/>
    <w:rsid w:val="00B23708"/>
    <w:rsid w:val="00B2415C"/>
    <w:rsid w:val="00B25A7B"/>
    <w:rsid w:val="00B26518"/>
    <w:rsid w:val="00B27720"/>
    <w:rsid w:val="00B303B3"/>
    <w:rsid w:val="00B356E8"/>
    <w:rsid w:val="00B37A95"/>
    <w:rsid w:val="00B405C9"/>
    <w:rsid w:val="00B41924"/>
    <w:rsid w:val="00B41C45"/>
    <w:rsid w:val="00B4237E"/>
    <w:rsid w:val="00B44C84"/>
    <w:rsid w:val="00B45BC5"/>
    <w:rsid w:val="00B47C49"/>
    <w:rsid w:val="00B513DF"/>
    <w:rsid w:val="00B5155E"/>
    <w:rsid w:val="00B51794"/>
    <w:rsid w:val="00B52AD5"/>
    <w:rsid w:val="00B5465C"/>
    <w:rsid w:val="00B54680"/>
    <w:rsid w:val="00B55C8A"/>
    <w:rsid w:val="00B60AFD"/>
    <w:rsid w:val="00B62D7F"/>
    <w:rsid w:val="00B639A0"/>
    <w:rsid w:val="00B67E0E"/>
    <w:rsid w:val="00B708EC"/>
    <w:rsid w:val="00B72EF6"/>
    <w:rsid w:val="00B73256"/>
    <w:rsid w:val="00B74DF4"/>
    <w:rsid w:val="00B7651C"/>
    <w:rsid w:val="00B805F8"/>
    <w:rsid w:val="00B811F4"/>
    <w:rsid w:val="00B83545"/>
    <w:rsid w:val="00B84083"/>
    <w:rsid w:val="00B86B28"/>
    <w:rsid w:val="00B87565"/>
    <w:rsid w:val="00B922CF"/>
    <w:rsid w:val="00B92D59"/>
    <w:rsid w:val="00B92F34"/>
    <w:rsid w:val="00B95F85"/>
    <w:rsid w:val="00BA4C1E"/>
    <w:rsid w:val="00BA77A0"/>
    <w:rsid w:val="00BB310F"/>
    <w:rsid w:val="00BC0869"/>
    <w:rsid w:val="00BC1741"/>
    <w:rsid w:val="00BC1E2C"/>
    <w:rsid w:val="00BC3103"/>
    <w:rsid w:val="00BC54A4"/>
    <w:rsid w:val="00BC6DDB"/>
    <w:rsid w:val="00BD01B2"/>
    <w:rsid w:val="00BE07C7"/>
    <w:rsid w:val="00BE55A3"/>
    <w:rsid w:val="00BE64BC"/>
    <w:rsid w:val="00BF063F"/>
    <w:rsid w:val="00BF09FD"/>
    <w:rsid w:val="00BF5BF4"/>
    <w:rsid w:val="00C00573"/>
    <w:rsid w:val="00C007AC"/>
    <w:rsid w:val="00C03658"/>
    <w:rsid w:val="00C05A69"/>
    <w:rsid w:val="00C11019"/>
    <w:rsid w:val="00C11546"/>
    <w:rsid w:val="00C12695"/>
    <w:rsid w:val="00C16432"/>
    <w:rsid w:val="00C25669"/>
    <w:rsid w:val="00C25A39"/>
    <w:rsid w:val="00C26097"/>
    <w:rsid w:val="00C3071C"/>
    <w:rsid w:val="00C30C90"/>
    <w:rsid w:val="00C364FC"/>
    <w:rsid w:val="00C42821"/>
    <w:rsid w:val="00C43DDE"/>
    <w:rsid w:val="00C50389"/>
    <w:rsid w:val="00C50561"/>
    <w:rsid w:val="00C54239"/>
    <w:rsid w:val="00C55CBB"/>
    <w:rsid w:val="00C629A6"/>
    <w:rsid w:val="00C655F3"/>
    <w:rsid w:val="00C702D6"/>
    <w:rsid w:val="00C765DB"/>
    <w:rsid w:val="00C77F7A"/>
    <w:rsid w:val="00C97B94"/>
    <w:rsid w:val="00CA0D84"/>
    <w:rsid w:val="00CA15FC"/>
    <w:rsid w:val="00CA531A"/>
    <w:rsid w:val="00CB29D5"/>
    <w:rsid w:val="00CB7C36"/>
    <w:rsid w:val="00CC5F69"/>
    <w:rsid w:val="00CE15A8"/>
    <w:rsid w:val="00D03F91"/>
    <w:rsid w:val="00D0586C"/>
    <w:rsid w:val="00D065ED"/>
    <w:rsid w:val="00D10B7C"/>
    <w:rsid w:val="00D11ED1"/>
    <w:rsid w:val="00D1252F"/>
    <w:rsid w:val="00D136F7"/>
    <w:rsid w:val="00D1619B"/>
    <w:rsid w:val="00D17D5F"/>
    <w:rsid w:val="00D20471"/>
    <w:rsid w:val="00D2377B"/>
    <w:rsid w:val="00D2558B"/>
    <w:rsid w:val="00D267DA"/>
    <w:rsid w:val="00D2707D"/>
    <w:rsid w:val="00D27E81"/>
    <w:rsid w:val="00D30AD1"/>
    <w:rsid w:val="00D3609E"/>
    <w:rsid w:val="00D368AA"/>
    <w:rsid w:val="00D40BC9"/>
    <w:rsid w:val="00D42A42"/>
    <w:rsid w:val="00D51E75"/>
    <w:rsid w:val="00D5232F"/>
    <w:rsid w:val="00D567D1"/>
    <w:rsid w:val="00D60CAE"/>
    <w:rsid w:val="00D60D84"/>
    <w:rsid w:val="00D612E8"/>
    <w:rsid w:val="00D65297"/>
    <w:rsid w:val="00D67F6B"/>
    <w:rsid w:val="00D76D3B"/>
    <w:rsid w:val="00D80194"/>
    <w:rsid w:val="00D80DF1"/>
    <w:rsid w:val="00D84BE4"/>
    <w:rsid w:val="00D8601C"/>
    <w:rsid w:val="00D866D5"/>
    <w:rsid w:val="00D87753"/>
    <w:rsid w:val="00D94618"/>
    <w:rsid w:val="00DA48DF"/>
    <w:rsid w:val="00DA493C"/>
    <w:rsid w:val="00DA58CF"/>
    <w:rsid w:val="00DA5EB8"/>
    <w:rsid w:val="00DA71BD"/>
    <w:rsid w:val="00DB3F59"/>
    <w:rsid w:val="00DC0DD0"/>
    <w:rsid w:val="00DC100C"/>
    <w:rsid w:val="00DC3E4B"/>
    <w:rsid w:val="00DD1425"/>
    <w:rsid w:val="00DD2A75"/>
    <w:rsid w:val="00DD452E"/>
    <w:rsid w:val="00DD5CD8"/>
    <w:rsid w:val="00DD7F0E"/>
    <w:rsid w:val="00DE4641"/>
    <w:rsid w:val="00DE62A8"/>
    <w:rsid w:val="00E03205"/>
    <w:rsid w:val="00E06ADB"/>
    <w:rsid w:val="00E07AF9"/>
    <w:rsid w:val="00E07F0F"/>
    <w:rsid w:val="00E1290D"/>
    <w:rsid w:val="00E16688"/>
    <w:rsid w:val="00E17684"/>
    <w:rsid w:val="00E17B94"/>
    <w:rsid w:val="00E2177E"/>
    <w:rsid w:val="00E26E59"/>
    <w:rsid w:val="00E27D38"/>
    <w:rsid w:val="00E36B1B"/>
    <w:rsid w:val="00E37BCB"/>
    <w:rsid w:val="00E460E2"/>
    <w:rsid w:val="00E57B28"/>
    <w:rsid w:val="00E61C5B"/>
    <w:rsid w:val="00E665C5"/>
    <w:rsid w:val="00E74626"/>
    <w:rsid w:val="00E764DB"/>
    <w:rsid w:val="00E807CB"/>
    <w:rsid w:val="00E83260"/>
    <w:rsid w:val="00E8757A"/>
    <w:rsid w:val="00E942BE"/>
    <w:rsid w:val="00E94755"/>
    <w:rsid w:val="00E9488F"/>
    <w:rsid w:val="00E95678"/>
    <w:rsid w:val="00E95D9D"/>
    <w:rsid w:val="00EA1AA5"/>
    <w:rsid w:val="00EA79ED"/>
    <w:rsid w:val="00EB16C3"/>
    <w:rsid w:val="00EB4A8E"/>
    <w:rsid w:val="00EB5700"/>
    <w:rsid w:val="00EC313A"/>
    <w:rsid w:val="00EC7AFE"/>
    <w:rsid w:val="00ED070B"/>
    <w:rsid w:val="00ED3D34"/>
    <w:rsid w:val="00ED415D"/>
    <w:rsid w:val="00ED502B"/>
    <w:rsid w:val="00ED55E0"/>
    <w:rsid w:val="00ED5F68"/>
    <w:rsid w:val="00F00878"/>
    <w:rsid w:val="00F06E6F"/>
    <w:rsid w:val="00F24ADF"/>
    <w:rsid w:val="00F253EF"/>
    <w:rsid w:val="00F339A3"/>
    <w:rsid w:val="00F37002"/>
    <w:rsid w:val="00F376A0"/>
    <w:rsid w:val="00F40832"/>
    <w:rsid w:val="00F41D4B"/>
    <w:rsid w:val="00F47749"/>
    <w:rsid w:val="00F52D4F"/>
    <w:rsid w:val="00F55C82"/>
    <w:rsid w:val="00F55D9D"/>
    <w:rsid w:val="00F56969"/>
    <w:rsid w:val="00F57AC6"/>
    <w:rsid w:val="00F62029"/>
    <w:rsid w:val="00F636FB"/>
    <w:rsid w:val="00F63C96"/>
    <w:rsid w:val="00F65BF8"/>
    <w:rsid w:val="00F65FA6"/>
    <w:rsid w:val="00F677E6"/>
    <w:rsid w:val="00F70AAE"/>
    <w:rsid w:val="00F71CF0"/>
    <w:rsid w:val="00F75EDF"/>
    <w:rsid w:val="00F80AA5"/>
    <w:rsid w:val="00F860F7"/>
    <w:rsid w:val="00F93727"/>
    <w:rsid w:val="00F93E1F"/>
    <w:rsid w:val="00F9782F"/>
    <w:rsid w:val="00FA53B4"/>
    <w:rsid w:val="00FA60E4"/>
    <w:rsid w:val="00FA7757"/>
    <w:rsid w:val="00FB0C35"/>
    <w:rsid w:val="00FB1493"/>
    <w:rsid w:val="00FB21E6"/>
    <w:rsid w:val="00FB5AF2"/>
    <w:rsid w:val="00FB6BD5"/>
    <w:rsid w:val="00FB79B8"/>
    <w:rsid w:val="00FC187C"/>
    <w:rsid w:val="00FC30D2"/>
    <w:rsid w:val="00FC61ED"/>
    <w:rsid w:val="00FD245C"/>
    <w:rsid w:val="00FD2F26"/>
    <w:rsid w:val="00FD6BB0"/>
    <w:rsid w:val="00FE2026"/>
    <w:rsid w:val="00FE35B0"/>
    <w:rsid w:val="00FE7ECE"/>
    <w:rsid w:val="00FF062A"/>
    <w:rsid w:val="00FF09E2"/>
    <w:rsid w:val="00FF16C1"/>
    <w:rsid w:val="00FF409E"/>
    <w:rsid w:val="00FF5531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5476"/>
  <w15:docId w15:val="{0C719083-5226-4026-85E3-AC3A7456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25A39"/>
    <w:pPr>
      <w:keepNext/>
      <w:ind w:right="-1050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394E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uiPriority w:val="34"/>
    <w:qFormat/>
    <w:rsid w:val="00A5394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25A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985BF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0">
    <w:name w:val="s0"/>
    <w:rsid w:val="00A010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40B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C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unhideWhenUsed/>
    <w:rsid w:val="00D40BC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40B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40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B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40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BC1741"/>
    <w:rPr>
      <w:b/>
      <w:bCs/>
    </w:rPr>
  </w:style>
  <w:style w:type="paragraph" w:styleId="af2">
    <w:name w:val="Body Text Indent"/>
    <w:basedOn w:val="a"/>
    <w:link w:val="af3"/>
    <w:semiHidden/>
    <w:rsid w:val="002D7912"/>
    <w:pPr>
      <w:spacing w:after="120"/>
      <w:ind w:left="360"/>
    </w:pPr>
  </w:style>
  <w:style w:type="character" w:customStyle="1" w:styleId="af3">
    <w:name w:val="Основной текст с отступом Знак"/>
    <w:basedOn w:val="a0"/>
    <w:link w:val="af2"/>
    <w:semiHidden/>
    <w:rsid w:val="002D7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04A4B"/>
    <w:rPr>
      <w:color w:val="800080" w:themeColor="followedHyperlink"/>
      <w:u w:val="single"/>
    </w:rPr>
  </w:style>
  <w:style w:type="character" w:styleId="af5">
    <w:name w:val="page number"/>
    <w:basedOn w:val="a0"/>
    <w:uiPriority w:val="99"/>
    <w:semiHidden/>
    <w:unhideWhenUsed/>
    <w:rsid w:val="00D866D5"/>
  </w:style>
  <w:style w:type="paragraph" w:customStyle="1" w:styleId="Default">
    <w:name w:val="Default"/>
    <w:rsid w:val="00F3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24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A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F24ADF"/>
  </w:style>
  <w:style w:type="paragraph" w:styleId="af6">
    <w:name w:val="Revision"/>
    <w:hidden/>
    <w:uiPriority w:val="99"/>
    <w:semiHidden/>
    <w:rsid w:val="005A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 Spacing"/>
    <w:uiPriority w:val="1"/>
    <w:qFormat/>
    <w:rsid w:val="004D5428"/>
    <w:pPr>
      <w:spacing w:after="0" w:line="240" w:lineRule="auto"/>
    </w:pPr>
  </w:style>
  <w:style w:type="paragraph" w:styleId="af8">
    <w:name w:val="Title"/>
    <w:basedOn w:val="a"/>
    <w:link w:val="af9"/>
    <w:uiPriority w:val="10"/>
    <w:qFormat/>
    <w:rsid w:val="004766AC"/>
    <w:pPr>
      <w:jc w:val="center"/>
    </w:pPr>
    <w:rPr>
      <w:b/>
      <w:bCs/>
    </w:rPr>
  </w:style>
  <w:style w:type="character" w:customStyle="1" w:styleId="af9">
    <w:name w:val="Заголовок Знак"/>
    <w:basedOn w:val="a0"/>
    <w:link w:val="af8"/>
    <w:uiPriority w:val="10"/>
    <w:rsid w:val="00476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.k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siness@kaspi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pi.kz/busines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usiness@kaspi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iness@kaspi.k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1773-2883-4B7D-8E48-294470AF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Толеуова Жанар Габитовна</dc:creator>
  <cp:lastModifiedBy>Алтыбаева Айгуль Сарыбаевна</cp:lastModifiedBy>
  <cp:revision>2</cp:revision>
  <cp:lastPrinted>2018-11-27T09:56:00Z</cp:lastPrinted>
  <dcterms:created xsi:type="dcterms:W3CDTF">2020-03-18T04:02:00Z</dcterms:created>
  <dcterms:modified xsi:type="dcterms:W3CDTF">2020-03-18T04:02:00Z</dcterms:modified>
</cp:coreProperties>
</file>