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AE" w:rsidRPr="00BC5FAE" w:rsidRDefault="00BC5FAE" w:rsidP="00BC5FAE">
      <w:pPr>
        <w:rPr>
          <w:rFonts w:ascii="Times New Roman" w:hAnsi="Times New Roman" w:cs="Times New Roman"/>
          <w:sz w:val="24"/>
          <w:szCs w:val="24"/>
        </w:rPr>
      </w:pPr>
    </w:p>
    <w:p w:rsidR="00BC5FAE" w:rsidRPr="00BC5FAE" w:rsidRDefault="00BC5FAE" w:rsidP="00BC5FA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 РК о валютном регулировании и валютном контроле.</w:t>
      </w:r>
    </w:p>
    <w:p w:rsidR="00BC5FAE" w:rsidRPr="00BC5FAE" w:rsidRDefault="00BC5FAE" w:rsidP="00BC5FAE">
      <w:pPr>
        <w:pStyle w:val="j16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rStyle w:val="s0"/>
          <w:color w:val="auto"/>
        </w:rPr>
      </w:pPr>
      <w:r w:rsidRPr="00BC5FAE">
        <w:rPr>
          <w:rStyle w:val="s0"/>
        </w:rPr>
        <w:t>1.</w:t>
      </w:r>
      <w:r>
        <w:rPr>
          <w:rStyle w:val="s0"/>
        </w:rPr>
        <w:t>   </w:t>
      </w:r>
      <w:r w:rsidRPr="00BC5FAE">
        <w:rPr>
          <w:rStyle w:val="s0"/>
        </w:rPr>
        <w:t>Филиалы (представительства) иностранных нефинансовых организаций (далее –</w:t>
      </w:r>
      <w:r w:rsidRPr="00BC5FAE">
        <w:rPr>
          <w:rStyle w:val="s0"/>
          <w:b/>
          <w:bCs/>
        </w:rPr>
        <w:t>ФИНО</w:t>
      </w:r>
      <w:r w:rsidRPr="00BC5FAE">
        <w:rPr>
          <w:rStyle w:val="s0"/>
        </w:rPr>
        <w:t>), которые являются постоянными учреждениями таких иностранных нефинансовых организаций в Республике Казахстан в соответствии с </w:t>
      </w:r>
      <w:bookmarkStart w:id="0" w:name="SUB1006049041"/>
      <w:bookmarkEnd w:id="0"/>
      <w:r w:rsidRPr="00BC5FAE">
        <w:fldChar w:fldCharType="begin"/>
      </w:r>
      <w:r w:rsidRPr="00BC5FAE">
        <w:instrText xml:space="preserve"> HYPERLINK "https://online.zakon.kz/Document/?doc_id=36148637" \l "sub_id=2200000" \t "_parent" </w:instrText>
      </w:r>
      <w:r w:rsidRPr="00BC5FAE">
        <w:fldChar w:fldCharType="separate"/>
      </w:r>
      <w:r w:rsidRPr="00BC5FAE">
        <w:rPr>
          <w:rStyle w:val="a3"/>
          <w:color w:val="auto"/>
          <w:u w:val="none"/>
        </w:rPr>
        <w:t>Кодексом</w:t>
      </w:r>
      <w:r w:rsidRPr="00BC5FAE">
        <w:fldChar w:fldCharType="end"/>
      </w:r>
      <w:r w:rsidRPr="00BC5FAE">
        <w:rPr>
          <w:rStyle w:val="s0"/>
        </w:rPr>
        <w:t> Республики Казахстан «О налогах и других обязательных платежах в бюджет» (Налоговый кодекс)  </w:t>
      </w:r>
      <w:r w:rsidRPr="00BC5FAE">
        <w:rPr>
          <w:rStyle w:val="s0"/>
          <w:b/>
          <w:bCs/>
        </w:rPr>
        <w:t>теперь являются резидентами РК</w:t>
      </w:r>
      <w:r w:rsidRPr="00BC5FAE">
        <w:rPr>
          <w:rStyle w:val="s0"/>
        </w:rPr>
        <w:t xml:space="preserve"> и соответственно на территории РК платежи с резидентами могут осуществлять  </w:t>
      </w:r>
      <w:r w:rsidRPr="00BC5FAE">
        <w:rPr>
          <w:rStyle w:val="s0"/>
          <w:u w:val="single"/>
        </w:rPr>
        <w:t>только в тенге</w:t>
      </w:r>
      <w:r w:rsidRPr="00BC5FAE">
        <w:rPr>
          <w:rStyle w:val="s0"/>
        </w:rPr>
        <w:t xml:space="preserve">. Однако требование оформления учетного номера по договорам экспорта /импорта, движения капитала на них </w:t>
      </w:r>
      <w:r w:rsidRPr="00BC5FAE">
        <w:rPr>
          <w:rStyle w:val="s0"/>
          <w:u w:val="single"/>
        </w:rPr>
        <w:t>не распространяются</w:t>
      </w:r>
      <w:r w:rsidRPr="00BC5FAE">
        <w:rPr>
          <w:rStyle w:val="s0"/>
        </w:rPr>
        <w:t xml:space="preserve"> и на территории РК операции в иностранной валюте </w:t>
      </w:r>
      <w:r w:rsidRPr="00BC5FAE">
        <w:rPr>
          <w:rStyle w:val="s0"/>
          <w:u w:val="single"/>
        </w:rPr>
        <w:t>между такими ФИНО</w:t>
      </w:r>
      <w:r w:rsidRPr="00BC5FAE">
        <w:rPr>
          <w:rStyle w:val="s0"/>
        </w:rPr>
        <w:t xml:space="preserve"> разрешается.</w:t>
      </w:r>
    </w:p>
    <w:p w:rsidR="00BC5FAE" w:rsidRPr="00BC5FAE" w:rsidRDefault="00BC5FAE" w:rsidP="00BC5FAE">
      <w:pPr>
        <w:pStyle w:val="j16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</w:pPr>
      <w:r w:rsidRPr="00BC5FAE">
        <w:t>2.</w:t>
      </w:r>
      <w:r>
        <w:t>   О</w:t>
      </w:r>
      <w:r w:rsidRPr="00BC5FAE">
        <w:rPr>
          <w:rStyle w:val="s0"/>
        </w:rPr>
        <w:t xml:space="preserve">фициальный перечень ФИНО, для которых статус </w:t>
      </w:r>
      <w:r w:rsidRPr="00BC5FAE">
        <w:rPr>
          <w:rStyle w:val="s0"/>
          <w:u w:val="single"/>
        </w:rPr>
        <w:t>нерезидента</w:t>
      </w:r>
      <w:r w:rsidRPr="00BC5FAE">
        <w:rPr>
          <w:rStyle w:val="s0"/>
        </w:rPr>
        <w:t xml:space="preserve"> по валютному законодательству Утвержден актом Правительства РК размещен на сайте НБРК. </w:t>
      </w:r>
    </w:p>
    <w:p w:rsidR="00BC5FAE" w:rsidRPr="00BC5FAE" w:rsidRDefault="00BC5FAE" w:rsidP="00BC5FAE">
      <w:pPr>
        <w:pStyle w:val="a4"/>
        <w:ind w:hanging="360"/>
      </w:pPr>
      <w:r w:rsidRPr="00BC5FAE">
        <w:t>3.</w:t>
      </w:r>
      <w:r>
        <w:t>   </w:t>
      </w:r>
      <w:r w:rsidRPr="00BC5FAE">
        <w:t>Режимы регистрационного свидетельства и свидетельства об уведомлении сменились</w:t>
      </w:r>
      <w:r w:rsidR="00141C57">
        <w:t xml:space="preserve"> на режим учетной регистрации и</w:t>
      </w:r>
      <w:r w:rsidR="00141C57">
        <w:rPr>
          <w:lang w:val="kk-KZ"/>
        </w:rPr>
        <w:t xml:space="preserve"> установлена единая </w:t>
      </w:r>
      <w:r w:rsidRPr="00BC5FAE">
        <w:rPr>
          <w:lang w:val="kk-KZ"/>
        </w:rPr>
        <w:t>пороговая сумма (</w:t>
      </w:r>
      <w:r w:rsidRPr="00BC5FAE">
        <w:t xml:space="preserve">свыше 500 тысяч долларов США в эквиваленте), по договорам движения капитала (это займы, прямые инвестиции, участие в капитале, договора совместной деятельности и пр.) предусматривающие поступление имущества /денег в РК, а также передачу имущества/денег из РК </w:t>
      </w:r>
    </w:p>
    <w:p w:rsidR="00BC5FAE" w:rsidRPr="00BC5FAE" w:rsidRDefault="00BC5FAE" w:rsidP="00BC5FAE">
      <w:pPr>
        <w:pStyle w:val="j16"/>
        <w:shd w:val="clear" w:color="auto" w:fill="FFFFFF"/>
        <w:spacing w:before="0" w:beforeAutospacing="0" w:after="0" w:afterAutospacing="0"/>
        <w:ind w:left="720" w:hanging="360"/>
        <w:jc w:val="both"/>
        <w:textAlignment w:val="baseline"/>
        <w:rPr>
          <w:rStyle w:val="s0"/>
          <w:color w:val="auto"/>
        </w:rPr>
      </w:pPr>
      <w:r w:rsidRPr="00BC5FAE">
        <w:rPr>
          <w:rStyle w:val="s0"/>
        </w:rPr>
        <w:t>4.</w:t>
      </w:r>
      <w:r>
        <w:rPr>
          <w:rStyle w:val="s0"/>
        </w:rPr>
        <w:t>   В</w:t>
      </w:r>
      <w:r w:rsidRPr="00BC5FAE">
        <w:rPr>
          <w:rStyle w:val="s0"/>
        </w:rPr>
        <w:t>алютные операции, проводимые участниками Международного финансового ц</w:t>
      </w:r>
      <w:r w:rsidR="00141C57">
        <w:rPr>
          <w:rStyle w:val="s0"/>
        </w:rPr>
        <w:t>ентра «Астана» (МФЦА) </w:t>
      </w:r>
      <w:r w:rsidRPr="00BC5FAE">
        <w:rPr>
          <w:rStyle w:val="s0"/>
        </w:rPr>
        <w:t xml:space="preserve">на его территории </w:t>
      </w:r>
      <w:r w:rsidRPr="00BC5FAE">
        <w:rPr>
          <w:rStyle w:val="s0"/>
          <w:u w:val="single"/>
        </w:rPr>
        <w:t>не подпадают</w:t>
      </w:r>
      <w:r w:rsidRPr="00BC5FAE">
        <w:rPr>
          <w:rStyle w:val="s0"/>
        </w:rPr>
        <w:t xml:space="preserve"> под режимы учетной регистрации. Условия и порядок проведения валютных операций, связанных с оказанием финансовых и профессиональных услуг на территории МФЦА, определяются актами Международного финансового центра «Астана» по согласованию с Национальным Банком Республики Казахстан.</w:t>
      </w:r>
    </w:p>
    <w:p w:rsidR="00BC5FAE" w:rsidRPr="00BC5FAE" w:rsidRDefault="00BC5FAE" w:rsidP="00BC5FAE">
      <w:pPr>
        <w:rPr>
          <w:sz w:val="24"/>
          <w:szCs w:val="24"/>
        </w:rPr>
      </w:pPr>
    </w:p>
    <w:p w:rsidR="00BC5FAE" w:rsidRDefault="00BC5FAE" w:rsidP="00BC5FAE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осуществления экспортно-импортного валютного контроля в РК (Правила ЭИВК) </w:t>
      </w:r>
    </w:p>
    <w:p w:rsidR="00BC5FAE" w:rsidRDefault="00BC5FAE" w:rsidP="00BC5FAE">
      <w:pPr>
        <w:rPr>
          <w:rFonts w:ascii="Times New Roman" w:hAnsi="Times New Roman" w:cs="Times New Roman"/>
          <w:sz w:val="24"/>
          <w:szCs w:val="24"/>
        </w:rPr>
      </w:pPr>
    </w:p>
    <w:p w:rsidR="00BC5FAE" w:rsidRDefault="00BC5FAE" w:rsidP="00BC5FAE">
      <w:pPr>
        <w:pStyle w:val="a4"/>
        <w:ind w:hanging="360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С 01.07.2019г. требуется присвоение учетного номера договорам на оказание </w:t>
      </w:r>
      <w:r>
        <w:rPr>
          <w:u w:val="single"/>
        </w:rPr>
        <w:t>услуг, выполнение работ</w:t>
      </w:r>
      <w:r>
        <w:t xml:space="preserve"> на сумму свыше 50 тысяч долларов США в эквиваленте, а также </w:t>
      </w:r>
      <w:r>
        <w:rPr>
          <w:u w:val="single"/>
        </w:rPr>
        <w:t>договорам без указания общей суммы договора</w:t>
      </w:r>
      <w:r>
        <w:t>.</w:t>
      </w:r>
    </w:p>
    <w:p w:rsidR="00BC5FAE" w:rsidRDefault="00BC5FAE" w:rsidP="00BC5FAE">
      <w:pPr>
        <w:pStyle w:val="a4"/>
        <w:rPr>
          <w:noProof/>
          <w:sz w:val="20"/>
          <w:szCs w:val="20"/>
        </w:rPr>
      </w:pPr>
    </w:p>
    <w:p w:rsidR="00BC5FAE" w:rsidRDefault="00BC5FAE" w:rsidP="00BC5FAE">
      <w:pPr>
        <w:pStyle w:val="a4"/>
        <w:rPr>
          <w:b/>
          <w:noProof/>
        </w:rPr>
      </w:pPr>
      <w:r w:rsidRPr="00BC5FAE">
        <w:rPr>
          <w:b/>
          <w:noProof/>
        </w:rPr>
        <w:t>Какие валютный договоры попадают под учетную регистрацию</w:t>
      </w:r>
      <w:r>
        <w:rPr>
          <w:b/>
          <w:noProof/>
        </w:rPr>
        <w:t>:</w:t>
      </w:r>
    </w:p>
    <w:p w:rsidR="00141C57" w:rsidRPr="00BC5FAE" w:rsidRDefault="00141C57" w:rsidP="00BC5FAE">
      <w:pPr>
        <w:pStyle w:val="a4"/>
        <w:rPr>
          <w:b/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  <w:r>
        <w:rPr>
          <w:color w:val="000000"/>
        </w:rPr>
        <w:t xml:space="preserve">- </w:t>
      </w:r>
      <w:r w:rsidRPr="00BC5FAE">
        <w:rPr>
          <w:color w:val="000000"/>
        </w:rPr>
        <w:t>Валютные договоры по экспорту и импорту (</w:t>
      </w:r>
      <w:r w:rsidRPr="00BC5FAE">
        <w:rPr>
          <w:b/>
          <w:bCs/>
          <w:color w:val="000000"/>
        </w:rPr>
        <w:t xml:space="preserve">товаров, работ, услуг) </w:t>
      </w:r>
      <w:r w:rsidRPr="00BC5FAE">
        <w:rPr>
          <w:color w:val="000000"/>
        </w:rPr>
        <w:t>на сумму свыше 50 000 долларов США в эквиваленте</w:t>
      </w:r>
    </w:p>
    <w:p w:rsidR="00BC5FAE" w:rsidRPr="00BC5FAE" w:rsidRDefault="00BC5FAE" w:rsidP="00BC5FAE">
      <w:pPr>
        <w:pStyle w:val="a4"/>
        <w:ind w:left="-142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B32769B" wp14:editId="29FCD6F3">
            <wp:extent cx="5762625" cy="2809875"/>
            <wp:effectExtent l="0" t="0" r="9525" b="0"/>
            <wp:docPr id="1" name="Рисунок 1" descr="cid:image014.png@01D51631.7E7F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4.png@01D51631.7E7F53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AE" w:rsidRDefault="00BC5FAE" w:rsidP="00BC5FAE">
      <w:pPr>
        <w:pStyle w:val="a4"/>
        <w:rPr>
          <w:color w:val="000000"/>
        </w:rPr>
      </w:pPr>
    </w:p>
    <w:p w:rsidR="005260BD" w:rsidRDefault="005260BD" w:rsidP="00BC5FAE">
      <w:pPr>
        <w:pStyle w:val="a4"/>
        <w:rPr>
          <w:b/>
          <w:noProof/>
        </w:rPr>
      </w:pPr>
    </w:p>
    <w:p w:rsidR="005260BD" w:rsidRDefault="005260BD" w:rsidP="00BC5FAE">
      <w:pPr>
        <w:pStyle w:val="a4"/>
        <w:rPr>
          <w:b/>
          <w:noProof/>
        </w:rPr>
      </w:pPr>
    </w:p>
    <w:p w:rsidR="005260BD" w:rsidRDefault="005260BD" w:rsidP="00BC5FAE">
      <w:pPr>
        <w:pStyle w:val="a4"/>
        <w:rPr>
          <w:b/>
          <w:noProof/>
        </w:rPr>
      </w:pPr>
    </w:p>
    <w:p w:rsidR="005260BD" w:rsidRDefault="005260BD" w:rsidP="00BC5FAE">
      <w:pPr>
        <w:pStyle w:val="a4"/>
        <w:rPr>
          <w:b/>
          <w:noProof/>
        </w:rPr>
      </w:pPr>
    </w:p>
    <w:p w:rsidR="00BC5FAE" w:rsidRDefault="00BC5FAE" w:rsidP="00BC5FAE">
      <w:pPr>
        <w:pStyle w:val="a4"/>
        <w:rPr>
          <w:b/>
          <w:noProof/>
        </w:rPr>
      </w:pPr>
      <w:r w:rsidRPr="00BC5FAE">
        <w:rPr>
          <w:b/>
          <w:noProof/>
        </w:rPr>
        <w:lastRenderedPageBreak/>
        <w:t>Переходный период</w:t>
      </w:r>
      <w:r>
        <w:rPr>
          <w:b/>
          <w:noProof/>
        </w:rPr>
        <w:t>:</w:t>
      </w:r>
    </w:p>
    <w:p w:rsidR="005260BD" w:rsidRDefault="005260BD" w:rsidP="00BC5FAE">
      <w:pPr>
        <w:pStyle w:val="a4"/>
        <w:rPr>
          <w:color w:val="000000"/>
        </w:rPr>
      </w:pPr>
      <w:bookmarkStart w:id="1" w:name="_GoBack"/>
      <w:bookmarkEnd w:id="1"/>
    </w:p>
    <w:p w:rsidR="00BC5FAE" w:rsidRDefault="00BC5FAE" w:rsidP="00BC5FAE">
      <w:pPr>
        <w:pStyle w:val="a4"/>
        <w:rPr>
          <w:color w:val="000000"/>
        </w:rPr>
      </w:pPr>
      <w:r w:rsidRPr="00BC5FAE"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13969</wp:posOffset>
            </wp:positionV>
            <wp:extent cx="5676900" cy="1285875"/>
            <wp:effectExtent l="0" t="0" r="0" b="9525"/>
            <wp:wrapNone/>
            <wp:docPr id="6" name="Рисунок 6" descr="По действующим на 01.07.2019 года валютным договорам по экспорту или импорту, которым присвоены учетные номера до введения в действие Правил, получение новых учетных номеров не требуе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 действующим на 01.07.2019 года валютным договорам по экспорту или импорту, которым присвоены учетные номера до введения в действие Правил, получение новых учетных номеров не требуетс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  <w:r w:rsidRPr="00BC5FAE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72390</wp:posOffset>
            </wp:positionV>
            <wp:extent cx="19050" cy="257175"/>
            <wp:effectExtent l="0" t="0" r="0" b="9525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ая соединительная линия 8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  <w:r w:rsidRPr="00BC5FAE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205740</wp:posOffset>
            </wp:positionH>
            <wp:positionV relativeFrom="paragraph">
              <wp:posOffset>8255</wp:posOffset>
            </wp:positionV>
            <wp:extent cx="5743575" cy="1285875"/>
            <wp:effectExtent l="0" t="0" r="9525" b="9525"/>
            <wp:wrapNone/>
            <wp:docPr id="4" name="Рисунок 4" descr="Если экспортер или импортер имеет действующий &#10;по состоянию на 01.07.2019 года валютный договор по экспорту или импорту работ, услуг без учетного номера на сумму, превышающую 50 000 долларов США в эквиваленте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сли экспортер или импортер имеет действующий &#10;по состоянию на 01.07.2019 года валютный договор по экспорту или импорту работ, услуг без учетного номера на сумму, превышающую 50 000 долларов США в эквиваленте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  <w:r w:rsidRPr="00BC5FAE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55245</wp:posOffset>
            </wp:positionV>
            <wp:extent cx="28575" cy="16478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ая соединительная линия 2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FAE" w:rsidRDefault="00141C57" w:rsidP="00BC5FAE">
      <w:pPr>
        <w:pStyle w:val="a4"/>
        <w:rPr>
          <w:color w:val="000000"/>
        </w:rPr>
      </w:pPr>
      <w:r w:rsidRPr="00BC5FAE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120650</wp:posOffset>
            </wp:positionV>
            <wp:extent cx="4286250" cy="1485900"/>
            <wp:effectExtent l="0" t="0" r="0" b="0"/>
            <wp:wrapNone/>
            <wp:docPr id="2" name="Рисунок 2" descr="ТО …&#10;1. Уполномоченный банк  отказывает в проведении платежа и (или) перевода денег по такому договору&#10;2. Экспортер импортер обращается за получением УНВД в срок не позднее 6 (шести) месяцев со дня введения в действие Правил,&#10;НО…&#10;       до начала исполнения обязательств по такому договору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О …&#10;1. Уполномоченный банк  отказывает в проведении платежа и (или) перевода денег по такому договору&#10;2. Экспортер импортер обращается за получением УНВД в срок не позднее 6 (шести) месяцев со дня введения в действие Правил,&#10;НО…&#10;       до начала исполнения обязательств по такому договору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BC5FAE" w:rsidRDefault="00BC5FAE" w:rsidP="00BC5FAE">
      <w:pPr>
        <w:pStyle w:val="a4"/>
        <w:rPr>
          <w:color w:val="000000"/>
        </w:rPr>
      </w:pPr>
    </w:p>
    <w:p w:rsidR="00141C57" w:rsidRDefault="00141C57" w:rsidP="00BC5FAE">
      <w:pPr>
        <w:pStyle w:val="a4"/>
        <w:rPr>
          <w:color w:val="000000"/>
        </w:rPr>
      </w:pPr>
    </w:p>
    <w:p w:rsidR="00141C57" w:rsidRDefault="00141C57" w:rsidP="00BC5FAE">
      <w:pPr>
        <w:pStyle w:val="a4"/>
        <w:rPr>
          <w:color w:val="000000"/>
        </w:rPr>
      </w:pPr>
    </w:p>
    <w:p w:rsidR="00141C57" w:rsidRDefault="00141C57" w:rsidP="00BC5FAE">
      <w:pPr>
        <w:pStyle w:val="a4"/>
        <w:rPr>
          <w:color w:val="000000"/>
        </w:rPr>
      </w:pPr>
    </w:p>
    <w:p w:rsidR="00BC5FAE" w:rsidRDefault="00BC5FAE" w:rsidP="00141C57">
      <w:pPr>
        <w:pStyle w:val="a4"/>
        <w:ind w:hanging="360"/>
        <w:jc w:val="both"/>
        <w:rPr>
          <w:rStyle w:val="s0"/>
        </w:rPr>
      </w:pPr>
      <w:r>
        <w:rPr>
          <w:rStyle w:val="s0"/>
        </w:rPr>
        <w:t>2.</w:t>
      </w:r>
      <w:r>
        <w:rPr>
          <w:rStyle w:val="s0"/>
          <w:sz w:val="14"/>
          <w:szCs w:val="14"/>
        </w:rPr>
        <w:t xml:space="preserve">      </w:t>
      </w:r>
      <w:r>
        <w:rPr>
          <w:color w:val="000000"/>
        </w:rPr>
        <w:t xml:space="preserve">При переходе на обслуживание валютного договора с УНК из одного Банка в другой получение нового номера УНК не требуется. В новый Банк учетной регистрации предоставляется оригинал или копия валютного договора, с отметкой предыдущего Банка учетной регистрации о присвоении УНК, а также </w:t>
      </w:r>
      <w:r>
        <w:rPr>
          <w:rStyle w:val="s0"/>
        </w:rPr>
        <w:t>заявление о принятии валютного договора по экспорту или импорту на валютный контроль по форме согласно приложению 1 к Правилам ЭИВК. Процедура перехода валютного договора с УНК на обслуживание в другой Банк описана в п.27-31 Правил ЭИВК.</w:t>
      </w:r>
    </w:p>
    <w:p w:rsidR="00BC5FAE" w:rsidRDefault="00BC5FAE" w:rsidP="00BC5FAE">
      <w:pPr>
        <w:rPr>
          <w:rStyle w:val="s0"/>
          <w:rFonts w:ascii="Calibri" w:hAnsi="Calibri" w:cs="Calibri"/>
          <w:color w:val="auto"/>
        </w:rPr>
      </w:pPr>
    </w:p>
    <w:p w:rsidR="00BC5FAE" w:rsidRDefault="00BC5FAE" w:rsidP="00BC5F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1"/>
          <w:sz w:val="24"/>
          <w:szCs w:val="24"/>
        </w:rPr>
        <w:t xml:space="preserve">Правила осуществления валютных операций в Республике Казахстан </w:t>
      </w:r>
      <w:r>
        <w:rPr>
          <w:rFonts w:ascii="Times New Roman" w:hAnsi="Times New Roman" w:cs="Times New Roman"/>
          <w:b/>
          <w:bCs/>
          <w:sz w:val="24"/>
          <w:szCs w:val="24"/>
        </w:rPr>
        <w:t>№ 40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30 марта 2019 года </w:t>
      </w:r>
    </w:p>
    <w:p w:rsidR="005260BD" w:rsidRDefault="005260BD" w:rsidP="00BC5F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5FAE" w:rsidRPr="00141C57" w:rsidRDefault="00BC5FAE" w:rsidP="00BC5FA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покупки безналичной иностранной валюты:</w:t>
      </w:r>
    </w:p>
    <w:p w:rsidR="00BC5FAE" w:rsidRDefault="00BC5FAE" w:rsidP="00141C57">
      <w:pPr>
        <w:pStyle w:val="a4"/>
        <w:ind w:left="1117" w:hanging="360"/>
        <w:jc w:val="both"/>
        <w:rPr>
          <w:rStyle w:val="s0"/>
        </w:rPr>
      </w:pPr>
      <w:r>
        <w:rPr>
          <w:rStyle w:val="s0"/>
        </w:rPr>
        <w:t>1.</w:t>
      </w:r>
      <w:r w:rsidR="00141C57">
        <w:rPr>
          <w:rStyle w:val="s0"/>
          <w:sz w:val="14"/>
          <w:szCs w:val="14"/>
        </w:rPr>
        <w:t>     </w:t>
      </w:r>
      <w:r>
        <w:rPr>
          <w:rStyle w:val="s0"/>
        </w:rPr>
        <w:t xml:space="preserve">Филиалы (представительства) иностранных нефинансовых организаций </w:t>
      </w:r>
      <w:r>
        <w:rPr>
          <w:color w:val="000000"/>
        </w:rPr>
        <w:t xml:space="preserve">покупают валюту на основании </w:t>
      </w:r>
      <w:r>
        <w:rPr>
          <w:rStyle w:val="s0"/>
        </w:rPr>
        <w:t xml:space="preserve">документа, подтверждающего, что данный перевод денег является внутрикорпоративным (положение структурного подразделения юридического лица, приказ и иные документы). </w:t>
      </w:r>
    </w:p>
    <w:p w:rsidR="00BC5FAE" w:rsidRDefault="00BC5FAE" w:rsidP="00141C57">
      <w:pPr>
        <w:pStyle w:val="a4"/>
        <w:ind w:left="1117" w:hanging="360"/>
        <w:jc w:val="both"/>
        <w:rPr>
          <w:rStyle w:val="s0"/>
        </w:rPr>
      </w:pPr>
      <w:r>
        <w:rPr>
          <w:rStyle w:val="s0"/>
        </w:rPr>
        <w:t>2.</w:t>
      </w:r>
      <w:r>
        <w:rPr>
          <w:rStyle w:val="s0"/>
          <w:sz w:val="14"/>
          <w:szCs w:val="14"/>
        </w:rPr>
        <w:t xml:space="preserve">      </w:t>
      </w:r>
      <w:r>
        <w:rPr>
          <w:rStyle w:val="s0"/>
        </w:rPr>
        <w:t xml:space="preserve">Юридические лица –резиденты осуществляют покупку иностранной валюты на сумму более 100 тысяч долларов США в эквиваленте </w:t>
      </w:r>
      <w:r>
        <w:rPr>
          <w:rStyle w:val="s0"/>
          <w:u w:val="single"/>
        </w:rPr>
        <w:t>на основании договора, причем общая сумма купленной валюты по указанному договору не должна превышать общую сумму договора</w:t>
      </w:r>
      <w:r>
        <w:rPr>
          <w:rStyle w:val="s0"/>
        </w:rPr>
        <w:t xml:space="preserve">. </w:t>
      </w:r>
    </w:p>
    <w:p w:rsidR="00BC5FAE" w:rsidRDefault="00BC5FAE" w:rsidP="00141C57">
      <w:pPr>
        <w:pStyle w:val="a4"/>
        <w:ind w:left="1117" w:hanging="360"/>
        <w:jc w:val="both"/>
        <w:rPr>
          <w:rStyle w:val="s0"/>
        </w:rPr>
      </w:pPr>
      <w:r>
        <w:rPr>
          <w:rStyle w:val="s0"/>
        </w:rPr>
        <w:t>3.</w:t>
      </w:r>
      <w:r>
        <w:rPr>
          <w:rStyle w:val="s0"/>
          <w:sz w:val="14"/>
          <w:szCs w:val="14"/>
        </w:rPr>
        <w:t xml:space="preserve">      </w:t>
      </w:r>
      <w:r>
        <w:rPr>
          <w:rStyle w:val="s0"/>
        </w:rPr>
        <w:t xml:space="preserve">Юридические лица -резиденты, покупают в одном уполномоченном банке </w:t>
      </w:r>
      <w:r>
        <w:rPr>
          <w:rStyle w:val="s0"/>
          <w:u w:val="single"/>
        </w:rPr>
        <w:t xml:space="preserve">в один операционный день безналичную иностранную валюту за национальную </w:t>
      </w:r>
      <w:r w:rsidR="00141C57">
        <w:rPr>
          <w:rStyle w:val="s0"/>
          <w:u w:val="single"/>
        </w:rPr>
        <w:t xml:space="preserve">валюту на цели, не связанные с </w:t>
      </w:r>
      <w:r>
        <w:rPr>
          <w:rStyle w:val="s0"/>
          <w:u w:val="single"/>
        </w:rPr>
        <w:t>исполнением обязательств в иностранной валюте, в сумме, не превышающей 100 тысяч долларов США в эквиваленте</w:t>
      </w:r>
      <w:r>
        <w:rPr>
          <w:rStyle w:val="s0"/>
        </w:rPr>
        <w:t xml:space="preserve">. </w:t>
      </w:r>
    </w:p>
    <w:p w:rsidR="00141C57" w:rsidRDefault="00141C57" w:rsidP="00141C57">
      <w:pPr>
        <w:pStyle w:val="a4"/>
        <w:ind w:left="1117" w:hanging="360"/>
        <w:jc w:val="both"/>
        <w:rPr>
          <w:rStyle w:val="s0"/>
        </w:rPr>
      </w:pPr>
    </w:p>
    <w:p w:rsidR="00D66E5A" w:rsidRDefault="00141C57" w:rsidP="00141C57">
      <w:pPr>
        <w:pStyle w:val="a4"/>
        <w:ind w:left="757"/>
        <w:jc w:val="both"/>
      </w:pPr>
      <w:r>
        <w:rPr>
          <w:rStyle w:val="s0"/>
        </w:rPr>
        <w:t>*</w:t>
      </w:r>
      <w:r w:rsidR="00BC5FAE">
        <w:rPr>
          <w:rStyle w:val="s0"/>
        </w:rPr>
        <w:t>К целям, не связанным с исполнением обязательств в иностранной валюте, относятся перевод иностранной валюты на собственные счета в иностранных банках, безвозмездные переводы денег в иностранной валюте, а также размещение иностранной валюты на счета в уполномоченных банках.</w:t>
      </w:r>
    </w:p>
    <w:sectPr w:rsidR="00D66E5A" w:rsidSect="00141C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C6"/>
    <w:rsid w:val="00141C57"/>
    <w:rsid w:val="001B6BC6"/>
    <w:rsid w:val="005260BD"/>
    <w:rsid w:val="00BC5FAE"/>
    <w:rsid w:val="00D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EB886"/>
  <w15:chartTrackingRefBased/>
  <w15:docId w15:val="{754F5B65-C187-4973-B30D-ACFEB07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A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FA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C5FAE"/>
    <w:pPr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rsid w:val="00BC5F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C5FA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BC5F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cid:image014.png@01D51631.7E7F53E0" TargetMode="External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Татьяна Юрьевна</dc:creator>
  <cp:keywords/>
  <dc:description/>
  <cp:lastModifiedBy>Торопова Татьяна Юрьевна</cp:lastModifiedBy>
  <cp:revision>5</cp:revision>
  <dcterms:created xsi:type="dcterms:W3CDTF">2019-05-29T10:47:00Z</dcterms:created>
  <dcterms:modified xsi:type="dcterms:W3CDTF">2019-05-29T11:08:00Z</dcterms:modified>
</cp:coreProperties>
</file>